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50566" w14:textId="77777777" w:rsidR="00F5358B" w:rsidRPr="00602F3E" w:rsidRDefault="00F5358B" w:rsidP="00F5358B">
      <w:pPr>
        <w:jc w:val="center"/>
        <w:rPr>
          <w:b w:val="0"/>
        </w:rPr>
      </w:pPr>
      <w:bookmarkStart w:id="0" w:name="_GoBack"/>
      <w:bookmarkEnd w:id="0"/>
      <w:r w:rsidRPr="00602F3E">
        <w:t>STATEMENT OF WORK</w:t>
      </w:r>
    </w:p>
    <w:p w14:paraId="166D2307" w14:textId="77777777" w:rsidR="00F5358B" w:rsidRDefault="00F5358B" w:rsidP="00F5358B">
      <w:pPr>
        <w:jc w:val="center"/>
        <w:rPr>
          <w:b w:val="0"/>
          <w:sz w:val="28"/>
          <w:szCs w:val="28"/>
        </w:rPr>
      </w:pPr>
      <w:r>
        <w:rPr>
          <w:sz w:val="28"/>
          <w:szCs w:val="28"/>
        </w:rPr>
        <w:t>ADMINISTRATIVE JUDGE SERVICES</w:t>
      </w:r>
    </w:p>
    <w:p w14:paraId="73E57884" w14:textId="77777777" w:rsidR="00F5358B" w:rsidRDefault="00F5358B" w:rsidP="00F5358B">
      <w:pPr>
        <w:jc w:val="center"/>
        <w:rPr>
          <w:sz w:val="28"/>
          <w:szCs w:val="28"/>
        </w:rPr>
      </w:pPr>
      <w:r w:rsidRPr="0052103D">
        <w:rPr>
          <w:sz w:val="28"/>
          <w:szCs w:val="28"/>
        </w:rPr>
        <w:t>TO CONDUCT HEARING PROCEEDINGS FOR EEOC COMPLAINTS</w:t>
      </w:r>
    </w:p>
    <w:p w14:paraId="454D49E7" w14:textId="77777777" w:rsidR="00F5358B" w:rsidRPr="002F5E01" w:rsidRDefault="00F5358B" w:rsidP="00F5358B">
      <w:pPr>
        <w:widowControl w:val="0"/>
        <w:jc w:val="center"/>
        <w:rPr>
          <w:b w:val="0"/>
          <w:sz w:val="26"/>
        </w:rPr>
      </w:pPr>
      <w:r w:rsidRPr="00702E7F">
        <w:rPr>
          <w:sz w:val="26"/>
        </w:rPr>
        <w:t>(BASE PLUS 2 Option Years</w:t>
      </w:r>
      <w:r w:rsidRPr="002F5E01">
        <w:rPr>
          <w:b w:val="0"/>
          <w:sz w:val="26"/>
        </w:rPr>
        <w:t>)</w:t>
      </w:r>
    </w:p>
    <w:p w14:paraId="4118F6C3" w14:textId="77777777" w:rsidR="00F5358B" w:rsidRPr="005F478D" w:rsidRDefault="00F5358B" w:rsidP="00F5358B">
      <w:pPr>
        <w:jc w:val="center"/>
        <w:rPr>
          <w:b w:val="0"/>
          <w:sz w:val="28"/>
          <w:szCs w:val="28"/>
        </w:rPr>
      </w:pPr>
    </w:p>
    <w:p w14:paraId="75BF7A7E" w14:textId="77777777" w:rsidR="00F5358B" w:rsidRDefault="00F5358B" w:rsidP="00F5358B">
      <w:pPr>
        <w:widowControl w:val="0"/>
        <w:jc w:val="center"/>
        <w:rPr>
          <w:sz w:val="26"/>
        </w:rPr>
      </w:pPr>
    </w:p>
    <w:p w14:paraId="4DCB23F1" w14:textId="77777777" w:rsidR="00F5358B" w:rsidRDefault="00F5358B" w:rsidP="00F5358B">
      <w:pPr>
        <w:widowControl w:val="0"/>
        <w:rPr>
          <w:b w:val="0"/>
          <w:sz w:val="26"/>
        </w:rPr>
      </w:pPr>
      <w:r>
        <w:rPr>
          <w:sz w:val="26"/>
        </w:rPr>
        <w:t>C.1</w:t>
      </w:r>
      <w:r>
        <w:rPr>
          <w:sz w:val="26"/>
        </w:rPr>
        <w:tab/>
      </w:r>
      <w:r>
        <w:rPr>
          <w:sz w:val="26"/>
          <w:u w:val="single"/>
        </w:rPr>
        <w:t>DESCRIPTIONS, SPECIFICATIONS, AND STATEMENT OF WORK</w:t>
      </w:r>
    </w:p>
    <w:p w14:paraId="052EAB3F" w14:textId="77777777" w:rsidR="00F5358B" w:rsidRDefault="00F5358B" w:rsidP="00F5358B">
      <w:pPr>
        <w:rPr>
          <w:b w:val="0"/>
          <w:bCs w:val="0"/>
        </w:rPr>
      </w:pPr>
      <w:r>
        <w:tab/>
      </w:r>
      <w:r>
        <w:tab/>
      </w:r>
      <w:r>
        <w:tab/>
      </w:r>
      <w:r>
        <w:tab/>
      </w:r>
      <w:r>
        <w:tab/>
      </w:r>
      <w:r>
        <w:tab/>
        <w:t xml:space="preserve">           </w:t>
      </w:r>
    </w:p>
    <w:p w14:paraId="6A6C496E" w14:textId="77777777" w:rsidR="00F5358B" w:rsidRDefault="00F5358B" w:rsidP="00F5358B">
      <w:pPr>
        <w:rPr>
          <w:rFonts w:ascii="Courier New" w:hAnsi="Courier New" w:cs="Courier New"/>
          <w:b w:val="0"/>
          <w:bCs w:val="0"/>
        </w:rPr>
      </w:pPr>
      <w:r>
        <w:tab/>
      </w:r>
      <w:r>
        <w:tab/>
      </w:r>
    </w:p>
    <w:p w14:paraId="5749EDFB" w14:textId="77777777" w:rsidR="00F5358B" w:rsidRDefault="00F5358B" w:rsidP="00F5358B">
      <w:pPr>
        <w:jc w:val="both"/>
        <w:sectPr w:rsidR="00F5358B" w:rsidSect="0052103D">
          <w:headerReference w:type="default" r:id="rId10"/>
          <w:footerReference w:type="default" r:id="rId11"/>
          <w:headerReference w:type="first" r:id="rId12"/>
          <w:footerReference w:type="first" r:id="rId13"/>
          <w:pgSz w:w="12240" w:h="15840"/>
          <w:pgMar w:top="1440" w:right="1440" w:bottom="1440" w:left="1440" w:header="1440" w:footer="1440" w:gutter="0"/>
          <w:pgNumType w:start="1"/>
          <w:cols w:space="720"/>
          <w:titlePg/>
          <w:docGrid w:linePitch="272"/>
        </w:sectPr>
      </w:pPr>
    </w:p>
    <w:p w14:paraId="4A3B9B09" w14:textId="77777777" w:rsidR="00F5358B" w:rsidRDefault="00F5358B" w:rsidP="00F5358B">
      <w:pPr>
        <w:pStyle w:val="Level1"/>
        <w:numPr>
          <w:ilvl w:val="0"/>
          <w:numId w:val="1"/>
        </w:numPr>
        <w:tabs>
          <w:tab w:val="left" w:pos="720"/>
        </w:tabs>
        <w:ind w:left="720" w:hanging="720"/>
        <w:jc w:val="both"/>
        <w:rPr>
          <w:b w:val="0"/>
          <w:bCs w:val="0"/>
        </w:rPr>
      </w:pPr>
      <w:r>
        <w:rPr>
          <w:u w:val="single"/>
        </w:rPr>
        <w:t>BACKGROUND</w:t>
      </w:r>
    </w:p>
    <w:p w14:paraId="6BB794D7" w14:textId="77777777" w:rsidR="00F5358B" w:rsidRDefault="00F5358B" w:rsidP="00F5358B">
      <w:pPr>
        <w:numPr>
          <w:ilvl w:val="12"/>
          <w:numId w:val="0"/>
        </w:numPr>
        <w:jc w:val="both"/>
        <w:rPr>
          <w:b w:val="0"/>
          <w:bCs w:val="0"/>
        </w:rPr>
      </w:pPr>
    </w:p>
    <w:p w14:paraId="7CD5DD82" w14:textId="77777777" w:rsidR="00F5358B" w:rsidRDefault="00F5358B" w:rsidP="00F5358B">
      <w:pPr>
        <w:numPr>
          <w:ilvl w:val="12"/>
          <w:numId w:val="0"/>
        </w:numPr>
        <w:jc w:val="both"/>
        <w:rPr>
          <w:b w:val="0"/>
          <w:bCs w:val="0"/>
        </w:rPr>
      </w:pPr>
      <w:r w:rsidRPr="00F55748">
        <w:t>From time to time, the U.S. Equal Employment Opportunity Commission (EEOC) requires</w:t>
      </w:r>
      <w:r>
        <w:t xml:space="preserve"> the services of an Administrative Judge to conduct hearing proceedings in the EEO Complaints of its own employees.  To avoid the appearance of conflict of interest, the EEOC does not utilize its own staff Administrative Judges.  </w:t>
      </w:r>
    </w:p>
    <w:p w14:paraId="339FC986" w14:textId="77777777" w:rsidR="00F5358B" w:rsidRDefault="00F5358B" w:rsidP="00F5358B">
      <w:pPr>
        <w:numPr>
          <w:ilvl w:val="12"/>
          <w:numId w:val="0"/>
        </w:numPr>
        <w:jc w:val="both"/>
        <w:rPr>
          <w:rFonts w:ascii="Courier New" w:hAnsi="Courier New" w:cs="Courier New"/>
          <w:b w:val="0"/>
          <w:bCs w:val="0"/>
        </w:rPr>
      </w:pPr>
    </w:p>
    <w:p w14:paraId="1402F8EB" w14:textId="77777777" w:rsidR="00F5358B" w:rsidRDefault="00F5358B" w:rsidP="00F5358B">
      <w:pPr>
        <w:numPr>
          <w:ilvl w:val="12"/>
          <w:numId w:val="0"/>
        </w:numPr>
        <w:jc w:val="both"/>
        <w:rPr>
          <w:rFonts w:ascii="Courier New" w:hAnsi="Courier New" w:cs="Courier New"/>
          <w:b w:val="0"/>
          <w:bCs w:val="0"/>
        </w:rPr>
      </w:pPr>
    </w:p>
    <w:p w14:paraId="5113FDAD" w14:textId="77777777" w:rsidR="00F5358B" w:rsidRDefault="00F5358B" w:rsidP="00F5358B">
      <w:pPr>
        <w:pStyle w:val="Level1"/>
        <w:numPr>
          <w:ilvl w:val="0"/>
          <w:numId w:val="1"/>
        </w:numPr>
        <w:tabs>
          <w:tab w:val="left" w:pos="720"/>
        </w:tabs>
        <w:ind w:left="720" w:hanging="720"/>
        <w:jc w:val="both"/>
        <w:rPr>
          <w:b w:val="0"/>
          <w:bCs w:val="0"/>
        </w:rPr>
      </w:pPr>
      <w:r>
        <w:rPr>
          <w:u w:val="single"/>
        </w:rPr>
        <w:t>SCOPE OF WORK TO BE PERFORMED</w:t>
      </w:r>
    </w:p>
    <w:p w14:paraId="06F7B96E" w14:textId="77777777" w:rsidR="00F5358B" w:rsidRDefault="00F5358B" w:rsidP="00F5358B">
      <w:pPr>
        <w:numPr>
          <w:ilvl w:val="12"/>
          <w:numId w:val="0"/>
        </w:numPr>
        <w:jc w:val="both"/>
        <w:rPr>
          <w:b w:val="0"/>
          <w:bCs w:val="0"/>
        </w:rPr>
      </w:pPr>
    </w:p>
    <w:p w14:paraId="689173CB" w14:textId="77777777" w:rsidR="00F5358B" w:rsidRDefault="00F5358B" w:rsidP="00F5358B">
      <w:pPr>
        <w:numPr>
          <w:ilvl w:val="12"/>
          <w:numId w:val="0"/>
        </w:numPr>
        <w:jc w:val="both"/>
      </w:pPr>
      <w:r>
        <w:t>Contractors conduct all proceedings in accordance with 29 C.F.R. § 1614.109 (as revised), EEOC Management Directive MD-110 (both effective November 9, 1999).</w:t>
      </w:r>
    </w:p>
    <w:p w14:paraId="2F1433D9" w14:textId="77777777" w:rsidR="00F5358B" w:rsidRDefault="00F5358B" w:rsidP="00F5358B">
      <w:pPr>
        <w:numPr>
          <w:ilvl w:val="12"/>
          <w:numId w:val="0"/>
        </w:numPr>
        <w:jc w:val="both"/>
        <w:rPr>
          <w:b w:val="0"/>
          <w:bCs w:val="0"/>
        </w:rPr>
      </w:pPr>
    </w:p>
    <w:p w14:paraId="3515E466" w14:textId="77777777" w:rsidR="00F5358B" w:rsidRPr="00702E7F" w:rsidRDefault="00F5358B" w:rsidP="00F5358B">
      <w:pPr>
        <w:widowControl w:val="0"/>
      </w:pPr>
      <w:r w:rsidRPr="00702E7F">
        <w:t>The contractor will be responsible for</w:t>
      </w:r>
      <w:r w:rsidRPr="00D53922">
        <w:t xml:space="preserve"> conducting hearing proceedings in EEO Complaints of EEOC employees</w:t>
      </w:r>
      <w:r w:rsidRPr="00702E7F">
        <w:t xml:space="preserve"> for the required period of performance, i.e. base plus 2- year option and to lock in “prices” (labor hour) for the periods of performance. The two-year option period will be at the sole discretion of the government, if exercised.</w:t>
      </w:r>
    </w:p>
    <w:p w14:paraId="5AF34F38" w14:textId="77777777" w:rsidR="00F5358B" w:rsidRPr="00702E7F" w:rsidRDefault="00F5358B" w:rsidP="00F5358B"/>
    <w:p w14:paraId="52D2D100" w14:textId="77777777" w:rsidR="00174C14" w:rsidRDefault="00174C14" w:rsidP="00F5358B"/>
    <w:p w14:paraId="4332F3BB" w14:textId="6CAC0A12" w:rsidR="00F5358B" w:rsidRPr="00702E7F" w:rsidRDefault="00F5358B" w:rsidP="00F5358B">
      <w:r w:rsidRPr="00702E7F">
        <w:t xml:space="preserve">Option to Extend the Term of the </w:t>
      </w:r>
      <w:r w:rsidR="000D71B8">
        <w:t>Blanket Purchase Agreement (BPA)</w:t>
      </w:r>
      <w:r w:rsidRPr="00702E7F">
        <w:t>:</w:t>
      </w:r>
    </w:p>
    <w:p w14:paraId="14BD255A" w14:textId="77777777" w:rsidR="00F5358B" w:rsidRPr="00702E7F" w:rsidRDefault="00F5358B" w:rsidP="00F5358B"/>
    <w:p w14:paraId="374EAE0F" w14:textId="37E4B429" w:rsidR="00F5358B" w:rsidRPr="00174C14" w:rsidRDefault="00F5358B" w:rsidP="00F5358B">
      <w:r w:rsidRPr="00702E7F">
        <w:t xml:space="preserve">(a) </w:t>
      </w:r>
      <w:r w:rsidRPr="00174C14">
        <w:t xml:space="preserve">The Government may extend the term of this </w:t>
      </w:r>
      <w:r w:rsidR="000D71B8">
        <w:t>BPA</w:t>
      </w:r>
      <w:r w:rsidRPr="00174C14">
        <w:t xml:space="preserve"> by written notice to the Contractor within thirty (30) calendar days prior to the expiration of the </w:t>
      </w:r>
      <w:r w:rsidR="000D71B8">
        <w:t>BPA</w:t>
      </w:r>
      <w:r w:rsidRPr="00174C14">
        <w:t xml:space="preserve">; provided that the Government gives the Contractor a preliminary written notice of its intent to extend at least 60 calendar days before the </w:t>
      </w:r>
      <w:r w:rsidR="000D71B8">
        <w:t>BPA</w:t>
      </w:r>
      <w:r w:rsidRPr="00174C14">
        <w:t xml:space="preserve"> expires. The preliminary notice does not commit the Government to an extension.</w:t>
      </w:r>
    </w:p>
    <w:p w14:paraId="60785069" w14:textId="48FF4611" w:rsidR="00F5358B" w:rsidRPr="00174C14" w:rsidRDefault="00F5358B" w:rsidP="00F5358B">
      <w:r w:rsidRPr="00174C14">
        <w:t xml:space="preserve">(b) If the Government exercises this option, the extended </w:t>
      </w:r>
      <w:r w:rsidR="000D71B8">
        <w:t>BPA</w:t>
      </w:r>
      <w:r w:rsidRPr="00174C14">
        <w:t xml:space="preserve"> shall be considered to include the option clause.</w:t>
      </w:r>
    </w:p>
    <w:p w14:paraId="02B1B99E" w14:textId="00097577" w:rsidR="00F5358B" w:rsidRPr="00174C14" w:rsidRDefault="00F5358B" w:rsidP="00F5358B">
      <w:r w:rsidRPr="00174C14">
        <w:t xml:space="preserve">(c) The total duration of this </w:t>
      </w:r>
      <w:r w:rsidR="000D71B8">
        <w:t>BPA</w:t>
      </w:r>
      <w:r w:rsidRPr="00174C14">
        <w:t xml:space="preserve">, including the exercise of any options under this clause, shall not exceed </w:t>
      </w:r>
      <w:r w:rsidR="00C520F3">
        <w:t>36</w:t>
      </w:r>
      <w:r w:rsidRPr="00174C14">
        <w:t xml:space="preserve"> months. </w:t>
      </w:r>
    </w:p>
    <w:p w14:paraId="772AA455" w14:textId="77777777" w:rsidR="00F5358B" w:rsidRDefault="00F5358B" w:rsidP="00F5358B">
      <w:pPr>
        <w:numPr>
          <w:ilvl w:val="12"/>
          <w:numId w:val="0"/>
        </w:numPr>
        <w:jc w:val="both"/>
        <w:rPr>
          <w:b w:val="0"/>
          <w:bCs w:val="0"/>
        </w:rPr>
      </w:pPr>
    </w:p>
    <w:p w14:paraId="3A0BB9CD" w14:textId="77777777" w:rsidR="00C520F3" w:rsidRDefault="00C520F3" w:rsidP="00F5358B">
      <w:pPr>
        <w:numPr>
          <w:ilvl w:val="12"/>
          <w:numId w:val="0"/>
        </w:numPr>
        <w:jc w:val="both"/>
      </w:pPr>
    </w:p>
    <w:p w14:paraId="347BCD10" w14:textId="77777777" w:rsidR="00C520F3" w:rsidRDefault="00C520F3" w:rsidP="00F5358B">
      <w:pPr>
        <w:numPr>
          <w:ilvl w:val="12"/>
          <w:numId w:val="0"/>
        </w:numPr>
        <w:jc w:val="both"/>
      </w:pPr>
    </w:p>
    <w:p w14:paraId="39EF4B17" w14:textId="6EE3CEA7" w:rsidR="00F5358B" w:rsidRDefault="00F5358B" w:rsidP="00F5358B">
      <w:pPr>
        <w:numPr>
          <w:ilvl w:val="12"/>
          <w:numId w:val="0"/>
        </w:numPr>
        <w:jc w:val="both"/>
        <w:rPr>
          <w:b w:val="0"/>
          <w:bCs w:val="0"/>
        </w:rPr>
      </w:pPr>
      <w:r>
        <w:lastRenderedPageBreak/>
        <w:t xml:space="preserve">The contractor will be paid on an hourly basis.  Allowable costs incurred by the contractor </w:t>
      </w:r>
      <w:proofErr w:type="gramStart"/>
      <w:r>
        <w:t>as a result of</w:t>
      </w:r>
      <w:proofErr w:type="gramEnd"/>
      <w:r>
        <w:t xml:space="preserve"> performance consist of direct labor expenses to conduct pre-hearing proceedings, the hearing, travel, per diem, and other miscellaneous expenses plus the </w:t>
      </w:r>
      <w:r w:rsidRPr="00CE09F8">
        <w:t xml:space="preserve">normal and ordinary expenses incurred in the processing of complaints at the hearing phase.  </w:t>
      </w:r>
    </w:p>
    <w:p w14:paraId="2C2085A7" w14:textId="77777777" w:rsidR="00F5358B" w:rsidRDefault="00F5358B" w:rsidP="00F5358B">
      <w:pPr>
        <w:numPr>
          <w:ilvl w:val="12"/>
          <w:numId w:val="0"/>
        </w:numPr>
        <w:jc w:val="both"/>
        <w:rPr>
          <w:b w:val="0"/>
          <w:bCs w:val="0"/>
        </w:rPr>
      </w:pPr>
    </w:p>
    <w:p w14:paraId="76B41867" w14:textId="77777777" w:rsidR="00F5358B" w:rsidRPr="009E62D5" w:rsidRDefault="00F5358B" w:rsidP="00F5358B">
      <w:pPr>
        <w:numPr>
          <w:ilvl w:val="12"/>
          <w:numId w:val="0"/>
        </w:numPr>
        <w:jc w:val="both"/>
        <w:rPr>
          <w:b w:val="0"/>
          <w:bCs w:val="0"/>
        </w:rPr>
      </w:pPr>
      <w:r>
        <w:t>Mandatory t</w:t>
      </w:r>
      <w:r w:rsidRPr="009E62D5">
        <w:t xml:space="preserve">raining will </w:t>
      </w:r>
      <w:r>
        <w:t xml:space="preserve">be </w:t>
      </w:r>
      <w:r w:rsidRPr="009E62D5">
        <w:t>provided</w:t>
      </w:r>
      <w:r>
        <w:t xml:space="preserve"> periodically</w:t>
      </w:r>
      <w:r w:rsidRPr="009E62D5">
        <w:t xml:space="preserve"> at Government expense to acquaint </w:t>
      </w:r>
      <w:r>
        <w:t>contractors</w:t>
      </w:r>
      <w:r w:rsidRPr="009E62D5">
        <w:t xml:space="preserve"> with the EEOC administrative practices, and to update and refresh their knowledge of applicable laws and regulations</w:t>
      </w:r>
      <w:r>
        <w:t>.</w:t>
      </w:r>
    </w:p>
    <w:p w14:paraId="76192538" w14:textId="77777777" w:rsidR="00F5358B" w:rsidRDefault="00F5358B" w:rsidP="00F5358B">
      <w:pPr>
        <w:numPr>
          <w:ilvl w:val="12"/>
          <w:numId w:val="0"/>
        </w:numPr>
        <w:jc w:val="both"/>
        <w:rPr>
          <w:b w:val="0"/>
          <w:bCs w:val="0"/>
        </w:rPr>
      </w:pPr>
    </w:p>
    <w:p w14:paraId="3DB5D4A6" w14:textId="78304DF6" w:rsidR="00F5358B" w:rsidRDefault="00F5358B" w:rsidP="00F5358B">
      <w:pPr>
        <w:numPr>
          <w:ilvl w:val="12"/>
          <w:numId w:val="0"/>
        </w:numPr>
        <w:jc w:val="both"/>
        <w:rPr>
          <w:b w:val="0"/>
          <w:bCs w:val="0"/>
        </w:rPr>
      </w:pPr>
      <w:r>
        <w:t>The schedule for completion of work is typically 180</w:t>
      </w:r>
      <w:r w:rsidR="00174C14">
        <w:t xml:space="preserve"> calendar</w:t>
      </w:r>
      <w:r>
        <w:t xml:space="preserve"> days from the contractor's receipt of the complaint file.  This </w:t>
      </w:r>
      <w:proofErr w:type="gramStart"/>
      <w:r>
        <w:t>time period</w:t>
      </w:r>
      <w:proofErr w:type="gramEnd"/>
      <w:r>
        <w:t xml:space="preserve"> may vary in each individual contract, depending upon the nature and complexity of the case.  Timely processing is a vital element of the contract.  All communications with the parties should be in writing by letter or email.  EEOC encourages the use of both communications methods. All requests for extensions of time by the contractor must be submitted to the Contracting Officer Representative (COR) 30</w:t>
      </w:r>
      <w:r w:rsidR="00174C14">
        <w:t xml:space="preserve"> calendar</w:t>
      </w:r>
      <w:r>
        <w:t xml:space="preserve"> days prior to agreement </w:t>
      </w:r>
      <w:proofErr w:type="gramStart"/>
      <w:r>
        <w:t>expiration, and</w:t>
      </w:r>
      <w:proofErr w:type="gramEnd"/>
      <w:r>
        <w:t xml:space="preserve"> will only be granted when good cause for an extension is shown.</w:t>
      </w:r>
    </w:p>
    <w:p w14:paraId="03ABAF29" w14:textId="77777777" w:rsidR="00F5358B" w:rsidRDefault="00F5358B" w:rsidP="00F5358B">
      <w:pPr>
        <w:numPr>
          <w:ilvl w:val="12"/>
          <w:numId w:val="0"/>
        </w:numPr>
        <w:jc w:val="both"/>
        <w:rPr>
          <w:b w:val="0"/>
          <w:bCs w:val="0"/>
        </w:rPr>
      </w:pPr>
    </w:p>
    <w:p w14:paraId="6C6B7CFA" w14:textId="58B44F61" w:rsidR="00F5358B" w:rsidRDefault="00F5358B" w:rsidP="00F5358B">
      <w:pPr>
        <w:numPr>
          <w:ilvl w:val="12"/>
          <w:numId w:val="0"/>
        </w:numPr>
        <w:jc w:val="both"/>
        <w:rPr>
          <w:b w:val="0"/>
          <w:bCs w:val="0"/>
        </w:rPr>
      </w:pPr>
      <w:r>
        <w:t xml:space="preserve">EEOC encourages the use of Alternative Dispute Resolution (ADR), such as mediation, at all levels of the EEO complaint process.  </w:t>
      </w:r>
      <w:proofErr w:type="gramStart"/>
      <w:r>
        <w:t>In the event that</w:t>
      </w:r>
      <w:proofErr w:type="gramEnd"/>
      <w:r>
        <w:t xml:space="preserve"> the parties agree to attempt ADR during the hearing phase, the contractor shall hold the hearing process in abeyance for a reasonable period of time (typically 90 </w:t>
      </w:r>
      <w:r w:rsidR="00174C14">
        <w:t xml:space="preserve">calendar </w:t>
      </w:r>
      <w:r>
        <w:t xml:space="preserve">days), to allow them to pursue the ADR process.  A request to extend the period of performance </w:t>
      </w:r>
      <w:proofErr w:type="gramStart"/>
      <w:r>
        <w:t>for the purpose of</w:t>
      </w:r>
      <w:proofErr w:type="gramEnd"/>
      <w:r>
        <w:t xml:space="preserve"> allowing the parties to attempt ADR shall be considered by the COR to be good cause for an extension of time.</w:t>
      </w:r>
    </w:p>
    <w:p w14:paraId="72A66ECA" w14:textId="77777777" w:rsidR="00F5358B" w:rsidRDefault="00F5358B" w:rsidP="00F5358B">
      <w:pPr>
        <w:numPr>
          <w:ilvl w:val="12"/>
          <w:numId w:val="0"/>
        </w:numPr>
        <w:jc w:val="both"/>
        <w:rPr>
          <w:b w:val="0"/>
          <w:bCs w:val="0"/>
        </w:rPr>
      </w:pPr>
    </w:p>
    <w:p w14:paraId="75F531D7" w14:textId="77777777" w:rsidR="00F5358B" w:rsidRDefault="00F5358B" w:rsidP="00F5358B">
      <w:pPr>
        <w:numPr>
          <w:ilvl w:val="12"/>
          <w:numId w:val="0"/>
        </w:numPr>
        <w:jc w:val="both"/>
        <w:rPr>
          <w:b w:val="0"/>
          <w:bCs w:val="0"/>
        </w:rPr>
      </w:pPr>
      <w:r>
        <w:t>Conducting hearing proceedings may include the following:</w:t>
      </w:r>
    </w:p>
    <w:p w14:paraId="5A860C0D" w14:textId="77777777" w:rsidR="00F5358B" w:rsidRDefault="00F5358B" w:rsidP="00F5358B">
      <w:pPr>
        <w:numPr>
          <w:ilvl w:val="12"/>
          <w:numId w:val="0"/>
        </w:numPr>
        <w:jc w:val="both"/>
        <w:rPr>
          <w:b w:val="0"/>
          <w:bCs w:val="0"/>
        </w:rPr>
      </w:pPr>
    </w:p>
    <w:p w14:paraId="63892DCE" w14:textId="77777777" w:rsidR="00F5358B" w:rsidRDefault="00F5358B" w:rsidP="00F5358B">
      <w:pPr>
        <w:numPr>
          <w:ilvl w:val="12"/>
          <w:numId w:val="0"/>
        </w:numPr>
        <w:jc w:val="both"/>
        <w:sectPr w:rsidR="00F5358B" w:rsidSect="0052103D">
          <w:type w:val="continuous"/>
          <w:pgSz w:w="12240" w:h="15840"/>
          <w:pgMar w:top="1440" w:right="1440" w:bottom="1440" w:left="1440" w:header="1440" w:footer="1440" w:gutter="0"/>
          <w:pgNumType w:start="1"/>
          <w:cols w:space="720"/>
        </w:sectPr>
      </w:pPr>
    </w:p>
    <w:p w14:paraId="20AF24EF" w14:textId="77777777" w:rsidR="00F5358B" w:rsidRDefault="00F5358B" w:rsidP="00F5358B">
      <w:pPr>
        <w:spacing w:line="2" w:lineRule="exact"/>
      </w:pPr>
    </w:p>
    <w:p w14:paraId="7A28AA48" w14:textId="77777777" w:rsidR="00F5358B" w:rsidRDefault="00F5358B" w:rsidP="00F5358B">
      <w:pPr>
        <w:pStyle w:val="Level1"/>
        <w:numPr>
          <w:ilvl w:val="0"/>
          <w:numId w:val="2"/>
        </w:numPr>
        <w:tabs>
          <w:tab w:val="left" w:pos="720"/>
        </w:tabs>
        <w:ind w:left="720" w:hanging="720"/>
        <w:jc w:val="both"/>
        <w:rPr>
          <w:b w:val="0"/>
          <w:bCs w:val="0"/>
        </w:rPr>
      </w:pPr>
      <w:r>
        <w:t>Reading and analyzing complaint file.  Complaint files will be sent to the contractor by the EEOC as soon as a BPA Call is awarded.</w:t>
      </w:r>
    </w:p>
    <w:p w14:paraId="0519749C" w14:textId="77777777" w:rsidR="00F5358B" w:rsidRDefault="00F5358B" w:rsidP="00F5358B">
      <w:pPr>
        <w:numPr>
          <w:ilvl w:val="12"/>
          <w:numId w:val="0"/>
        </w:numPr>
        <w:jc w:val="both"/>
        <w:rPr>
          <w:b w:val="0"/>
          <w:bCs w:val="0"/>
        </w:rPr>
      </w:pPr>
    </w:p>
    <w:p w14:paraId="3C9B403E" w14:textId="3A6661EE" w:rsidR="00F5358B" w:rsidRDefault="00F5358B" w:rsidP="00F5358B">
      <w:pPr>
        <w:pStyle w:val="Level1"/>
        <w:numPr>
          <w:ilvl w:val="0"/>
          <w:numId w:val="2"/>
        </w:numPr>
        <w:tabs>
          <w:tab w:val="left" w:pos="720"/>
        </w:tabs>
        <w:ind w:left="720" w:hanging="720"/>
        <w:jc w:val="both"/>
      </w:pPr>
      <w:r>
        <w:t>Issuing an Acknowledgment and Order.  The contractor shall issue an Acknowledgment and Order to the parties within 10 days after receipt of the complaint file, with a copy to the COR.  In the Order, the contractor will inform the parties that they have 15</w:t>
      </w:r>
      <w:r w:rsidR="00174C14">
        <w:t xml:space="preserve"> calendar</w:t>
      </w:r>
      <w:r>
        <w:t xml:space="preserve"> days to initiate discovery, if discovery is needed.  The contractor will give the parties a deadline (typically 90</w:t>
      </w:r>
      <w:r w:rsidR="00174C14">
        <w:t xml:space="preserve"> calendar</w:t>
      </w:r>
      <w:r>
        <w:t xml:space="preserve"> days) in which to conduct </w:t>
      </w:r>
      <w:proofErr w:type="gramStart"/>
      <w:r>
        <w:t>discovery, and</w:t>
      </w:r>
      <w:proofErr w:type="gramEnd"/>
      <w:r>
        <w:t xml:space="preserve"> will designate the specific date on which discovery will end.  </w:t>
      </w:r>
    </w:p>
    <w:p w14:paraId="2AFC4D83" w14:textId="77777777" w:rsidR="00F5358B" w:rsidRDefault="00F5358B" w:rsidP="00F5358B">
      <w:pPr>
        <w:rPr>
          <w:b w:val="0"/>
          <w:bCs w:val="0"/>
        </w:rPr>
      </w:pPr>
      <w:r>
        <w:tab/>
      </w:r>
    </w:p>
    <w:p w14:paraId="2C365CE7" w14:textId="77777777" w:rsidR="00F5358B" w:rsidRDefault="00F5358B" w:rsidP="00F5358B">
      <w:pPr>
        <w:pStyle w:val="Level1"/>
        <w:tabs>
          <w:tab w:val="left" w:pos="720"/>
        </w:tabs>
        <w:jc w:val="both"/>
        <w:rPr>
          <w:b w:val="0"/>
          <w:bCs w:val="0"/>
        </w:rPr>
      </w:pPr>
      <w:r>
        <w:t xml:space="preserve">The contractor shall inform the parties that they are to serve their discovery requests on one another and on the contractor.  The contractor shall control requests for extensions.  In the Order, the contractor shall inform the parties that any discovery </w:t>
      </w:r>
      <w:r>
        <w:lastRenderedPageBreak/>
        <w:t>disputes regarding methods, the timetable, or specific discovery requests, are to be submitted to the contractor in the form of a Motion for Resolution.</w:t>
      </w:r>
    </w:p>
    <w:p w14:paraId="3C96DA3E" w14:textId="77777777" w:rsidR="00F5358B" w:rsidRDefault="00F5358B" w:rsidP="00F5358B">
      <w:pPr>
        <w:numPr>
          <w:ilvl w:val="12"/>
          <w:numId w:val="0"/>
        </w:numPr>
        <w:jc w:val="both"/>
        <w:rPr>
          <w:b w:val="0"/>
          <w:bCs w:val="0"/>
        </w:rPr>
      </w:pPr>
    </w:p>
    <w:p w14:paraId="023F4B94" w14:textId="77777777" w:rsidR="00F5358B" w:rsidRPr="008A6AC9" w:rsidRDefault="00F5358B" w:rsidP="00F5358B">
      <w:pPr>
        <w:pStyle w:val="Level1"/>
        <w:numPr>
          <w:ilvl w:val="0"/>
          <w:numId w:val="2"/>
        </w:numPr>
        <w:tabs>
          <w:tab w:val="left" w:pos="720"/>
        </w:tabs>
        <w:ind w:left="720" w:hanging="720"/>
        <w:jc w:val="both"/>
        <w:rPr>
          <w:b w:val="0"/>
        </w:rPr>
      </w:pPr>
      <w:r w:rsidRPr="008A6AC9">
        <w:t>Case Assessment.   The contractor should review the complaint file, including the investigative report, for procedural defects and potential dismissal issues.  A contractor may find it useful to schedule a conference to: (1) expedite disposition of the case; (2) establish early and continuing control so that the case will not be protracted because of lack of management; (3) discourage wasteful pre-hearing activities; (4) improve the quality of the hearing through more thorough preparation; and (5) facilitate the settlement of the case.  Also, an early conference that focuses on a discovery plan jointly submitted by the parties may make it easier for the contractor to address motions that may be filed as discovery proceeds.</w:t>
      </w:r>
    </w:p>
    <w:p w14:paraId="51431214" w14:textId="77777777" w:rsidR="00F5358B" w:rsidRDefault="00F5358B" w:rsidP="00F5358B">
      <w:pPr>
        <w:numPr>
          <w:ilvl w:val="12"/>
          <w:numId w:val="0"/>
        </w:numPr>
        <w:jc w:val="both"/>
        <w:rPr>
          <w:b w:val="0"/>
          <w:bCs w:val="0"/>
        </w:rPr>
      </w:pPr>
    </w:p>
    <w:p w14:paraId="151974A5" w14:textId="77777777" w:rsidR="00F5358B" w:rsidRDefault="00F5358B" w:rsidP="00F5358B">
      <w:pPr>
        <w:numPr>
          <w:ilvl w:val="12"/>
          <w:numId w:val="0"/>
        </w:numPr>
        <w:ind w:left="720"/>
        <w:jc w:val="both"/>
        <w:rPr>
          <w:b w:val="0"/>
          <w:bCs w:val="0"/>
        </w:rPr>
      </w:pPr>
      <w:r>
        <w:t xml:space="preserve">During ongoing case assessment, </w:t>
      </w:r>
      <w:proofErr w:type="gramStart"/>
      <w:r>
        <w:t>a number of</w:t>
      </w:r>
      <w:proofErr w:type="gramEnd"/>
      <w:r>
        <w:t xml:space="preserve"> matters may emerge that require the contractor’s intervention, including, </w:t>
      </w:r>
      <w:r>
        <w:rPr>
          <w:i/>
          <w:iCs/>
        </w:rPr>
        <w:t>inter alia</w:t>
      </w:r>
      <w:r>
        <w:t xml:space="preserve">, consolidation or amendment of complaints, agency dismissed claims, spin-off allegations and disputes regarding official time.  In </w:t>
      </w:r>
      <w:proofErr w:type="gramStart"/>
      <w:r>
        <w:t>all of</w:t>
      </w:r>
      <w:proofErr w:type="gramEnd"/>
      <w:r>
        <w:t xml:space="preserve"> these circumstances, the contractor’s rulings must be clearly communicated to the parties in writing.</w:t>
      </w:r>
    </w:p>
    <w:p w14:paraId="0C9C8D3A" w14:textId="77777777" w:rsidR="00F5358B" w:rsidRDefault="00F5358B" w:rsidP="00F5358B">
      <w:pPr>
        <w:numPr>
          <w:ilvl w:val="12"/>
          <w:numId w:val="0"/>
        </w:numPr>
        <w:jc w:val="both"/>
        <w:rPr>
          <w:b w:val="0"/>
          <w:bCs w:val="0"/>
        </w:rPr>
      </w:pPr>
    </w:p>
    <w:p w14:paraId="6CE28EC8" w14:textId="77777777" w:rsidR="00F5358B" w:rsidRDefault="00F5358B" w:rsidP="00F5358B">
      <w:pPr>
        <w:numPr>
          <w:ilvl w:val="12"/>
          <w:numId w:val="0"/>
        </w:numPr>
        <w:ind w:left="720"/>
        <w:jc w:val="both"/>
        <w:rPr>
          <w:b w:val="0"/>
          <w:bCs w:val="0"/>
        </w:rPr>
      </w:pPr>
      <w:r>
        <w:t xml:space="preserve">Decisions on these matters must be made in accordance with 29 C.F.R. Part 1614 and MD-110, plus Commission decision precedent and guidance provided by EEOC to the BPA Call Administrative Judges.  With respect to consolidation or amendment determinations, the contractor shall refer </w:t>
      </w:r>
      <w:proofErr w:type="gramStart"/>
      <w:r>
        <w:t>in particular to</w:t>
      </w:r>
      <w:proofErr w:type="gramEnd"/>
      <w:r>
        <w:t xml:space="preserve"> 29 C.F.R. § 1614.106 and 29 C.F.R. § 1614.606.</w:t>
      </w:r>
    </w:p>
    <w:p w14:paraId="4A8C8F02" w14:textId="77777777" w:rsidR="00F5358B" w:rsidRDefault="00F5358B" w:rsidP="00F5358B">
      <w:pPr>
        <w:numPr>
          <w:ilvl w:val="12"/>
          <w:numId w:val="0"/>
        </w:numPr>
        <w:jc w:val="both"/>
        <w:rPr>
          <w:b w:val="0"/>
          <w:bCs w:val="0"/>
        </w:rPr>
      </w:pPr>
    </w:p>
    <w:p w14:paraId="0D571F6A" w14:textId="77777777" w:rsidR="00F5358B" w:rsidRDefault="00F5358B" w:rsidP="00F5358B">
      <w:pPr>
        <w:numPr>
          <w:ilvl w:val="12"/>
          <w:numId w:val="0"/>
        </w:numPr>
        <w:ind w:left="720"/>
        <w:jc w:val="both"/>
        <w:rPr>
          <w:b w:val="0"/>
          <w:bCs w:val="0"/>
        </w:rPr>
      </w:pPr>
      <w:r>
        <w:t xml:space="preserve">These rulings may </w:t>
      </w:r>
      <w:proofErr w:type="gramStart"/>
      <w:r>
        <w:t>have an effect on</w:t>
      </w:r>
      <w:proofErr w:type="gramEnd"/>
      <w:r>
        <w:t xml:space="preserve"> the scope of work being performed under the BPA.  The contractor must contact the COR if there is likely to be a consolidation or amendment to the case.</w:t>
      </w:r>
    </w:p>
    <w:p w14:paraId="625CD742" w14:textId="77777777" w:rsidR="00F5358B" w:rsidRDefault="00F5358B" w:rsidP="00F5358B">
      <w:pPr>
        <w:numPr>
          <w:ilvl w:val="12"/>
          <w:numId w:val="0"/>
        </w:numPr>
        <w:jc w:val="both"/>
        <w:rPr>
          <w:b w:val="0"/>
          <w:bCs w:val="0"/>
        </w:rPr>
      </w:pPr>
    </w:p>
    <w:p w14:paraId="1EBAF032" w14:textId="77777777" w:rsidR="00F5358B" w:rsidRDefault="00F5358B" w:rsidP="00F5358B">
      <w:pPr>
        <w:pStyle w:val="Level1"/>
        <w:numPr>
          <w:ilvl w:val="0"/>
          <w:numId w:val="2"/>
        </w:numPr>
        <w:tabs>
          <w:tab w:val="left" w:pos="720"/>
        </w:tabs>
        <w:ind w:left="720" w:hanging="720"/>
        <w:jc w:val="both"/>
        <w:rPr>
          <w:b w:val="0"/>
          <w:bCs w:val="0"/>
        </w:rPr>
      </w:pPr>
      <w:r>
        <w:t xml:space="preserve">Conducting the Pre-hearing Conference (whether face-to-face or by telephone or video, whichever means is most practical).  </w:t>
      </w:r>
    </w:p>
    <w:p w14:paraId="049D7340" w14:textId="77777777" w:rsidR="00F5358B" w:rsidRDefault="00F5358B" w:rsidP="00F5358B">
      <w:pPr>
        <w:numPr>
          <w:ilvl w:val="12"/>
          <w:numId w:val="0"/>
        </w:numPr>
        <w:jc w:val="both"/>
        <w:rPr>
          <w:b w:val="0"/>
          <w:bCs w:val="0"/>
        </w:rPr>
      </w:pPr>
    </w:p>
    <w:p w14:paraId="275B23DC" w14:textId="77777777" w:rsidR="00F5358B" w:rsidRDefault="00F5358B" w:rsidP="00F5358B">
      <w:pPr>
        <w:numPr>
          <w:ilvl w:val="12"/>
          <w:numId w:val="0"/>
        </w:numPr>
        <w:ind w:left="720"/>
        <w:jc w:val="both"/>
        <w:rPr>
          <w:b w:val="0"/>
          <w:bCs w:val="0"/>
        </w:rPr>
      </w:pPr>
      <w:r>
        <w:t>Important points to cover: 1) Make a vigorous attempt to mediate a settlement of the complaint; 2) Where settlement is unlikely and even concurrently with efforts to settle, discuss discovery and motions schedule and prepare for hearing.</w:t>
      </w:r>
    </w:p>
    <w:p w14:paraId="6E7B7EF1" w14:textId="77777777" w:rsidR="00F5358B" w:rsidRDefault="00F5358B" w:rsidP="00F5358B">
      <w:pPr>
        <w:numPr>
          <w:ilvl w:val="12"/>
          <w:numId w:val="0"/>
        </w:numPr>
        <w:jc w:val="both"/>
        <w:rPr>
          <w:b w:val="0"/>
          <w:bCs w:val="0"/>
        </w:rPr>
      </w:pPr>
    </w:p>
    <w:p w14:paraId="12C1E375" w14:textId="77777777" w:rsidR="00F5358B" w:rsidRDefault="00F5358B" w:rsidP="00F5358B">
      <w:pPr>
        <w:numPr>
          <w:ilvl w:val="12"/>
          <w:numId w:val="0"/>
        </w:numPr>
        <w:ind w:left="720"/>
        <w:jc w:val="both"/>
        <w:rPr>
          <w:b w:val="0"/>
          <w:bCs w:val="0"/>
        </w:rPr>
      </w:pPr>
      <w:r>
        <w:t xml:space="preserve">Preparation for the hearing would include reviewing the claims of the complaint with the parties, advising the parties on the applicable law and the requisite burdens of proof, and determining which issues will and will not be heard and which may be the subject of summary judgment.   The contractor shall review any stipulations of facts witness lists submitted by the parties.  In addition, the contractor shall discuss hearing </w:t>
      </w:r>
      <w:r>
        <w:lastRenderedPageBreak/>
        <w:t>procedures with the parties as needed, including deciding whether exhibits will be proffered in advance or at hearing.</w:t>
      </w:r>
    </w:p>
    <w:p w14:paraId="333FB561" w14:textId="77777777" w:rsidR="00F5358B" w:rsidRDefault="00F5358B" w:rsidP="00F5358B">
      <w:pPr>
        <w:numPr>
          <w:ilvl w:val="12"/>
          <w:numId w:val="0"/>
        </w:numPr>
        <w:jc w:val="both"/>
        <w:rPr>
          <w:b w:val="0"/>
          <w:bCs w:val="0"/>
        </w:rPr>
      </w:pPr>
    </w:p>
    <w:p w14:paraId="2E1E14B8" w14:textId="77777777" w:rsidR="00F5358B" w:rsidRDefault="00F5358B" w:rsidP="00F5358B">
      <w:pPr>
        <w:pStyle w:val="Level1"/>
        <w:numPr>
          <w:ilvl w:val="0"/>
          <w:numId w:val="2"/>
        </w:numPr>
        <w:tabs>
          <w:tab w:val="left" w:pos="720"/>
        </w:tabs>
        <w:ind w:left="720" w:hanging="720"/>
        <w:jc w:val="both"/>
        <w:rPr>
          <w:b w:val="0"/>
          <w:bCs w:val="0"/>
        </w:rPr>
      </w:pPr>
      <w:r>
        <w:t xml:space="preserve">Conducting the hearing.  The hearing must be conducted in accordance with 29 C.F.R. § 1614.109 and EEOC Management Directive MD-110, Chapter 7 (Hearings).  The length of the hearing depends upon the complexity of each individual case.  </w:t>
      </w:r>
    </w:p>
    <w:p w14:paraId="530D9F73" w14:textId="77777777" w:rsidR="00F5358B" w:rsidRDefault="00F5358B" w:rsidP="00F5358B">
      <w:pPr>
        <w:numPr>
          <w:ilvl w:val="12"/>
          <w:numId w:val="0"/>
        </w:numPr>
        <w:jc w:val="both"/>
        <w:rPr>
          <w:b w:val="0"/>
          <w:bCs w:val="0"/>
        </w:rPr>
      </w:pPr>
    </w:p>
    <w:p w14:paraId="4CAAD8FE" w14:textId="77777777" w:rsidR="00F5358B" w:rsidRDefault="00F5358B" w:rsidP="00F5358B">
      <w:pPr>
        <w:numPr>
          <w:ilvl w:val="12"/>
          <w:numId w:val="0"/>
        </w:numPr>
        <w:ind w:left="720"/>
        <w:jc w:val="both"/>
        <w:rPr>
          <w:b w:val="0"/>
          <w:bCs w:val="0"/>
        </w:rPr>
      </w:pPr>
      <w:r>
        <w:t>Court reporting services for any hearing will be arranged by the contractor and paid for by EEOC’s Office of Equal Opportunity (OEO).  The contractor shall direct the court reporter to bill OEO directly.  It is important that the contractor communicate directly with OEO when establishing a hearing date and venue, as OEO is responsible for logistics related to the hearing, such as making sure space is available, and providing for the presence of approved witnesses.</w:t>
      </w:r>
    </w:p>
    <w:p w14:paraId="5153566C" w14:textId="77777777" w:rsidR="00F5358B" w:rsidRDefault="00F5358B" w:rsidP="00F5358B">
      <w:pPr>
        <w:numPr>
          <w:ilvl w:val="12"/>
          <w:numId w:val="0"/>
        </w:numPr>
        <w:jc w:val="both"/>
        <w:rPr>
          <w:b w:val="0"/>
          <w:bCs w:val="0"/>
        </w:rPr>
      </w:pPr>
    </w:p>
    <w:p w14:paraId="05275863" w14:textId="77777777" w:rsidR="00F5358B" w:rsidRPr="00702E7F" w:rsidRDefault="00F5358B" w:rsidP="00F5358B">
      <w:pPr>
        <w:pStyle w:val="Level1"/>
        <w:numPr>
          <w:ilvl w:val="0"/>
          <w:numId w:val="2"/>
        </w:numPr>
        <w:tabs>
          <w:tab w:val="left" w:pos="720"/>
        </w:tabs>
        <w:ind w:left="720" w:hanging="720"/>
        <w:jc w:val="both"/>
        <w:rPr>
          <w:b w:val="0"/>
          <w:bCs w:val="0"/>
        </w:rPr>
      </w:pPr>
      <w:r>
        <w:t xml:space="preserve">Issuing a decision.  The contractor shall issue a decision in writing unless the complaint is settled, or otherwise does not result in a decision through no fault of the contractor.  The contractor may issue a decision from the bench </w:t>
      </w:r>
      <w:proofErr w:type="gramStart"/>
      <w:r>
        <w:t>at the conclusion of</w:t>
      </w:r>
      <w:proofErr w:type="gramEnd"/>
      <w:r>
        <w:t xml:space="preserve"> the hearing in lieu of issuing a written decision, so long as the bench decision is recorded in the transcript of the hearing.  A decision in writing must be issued by the contractor within 30 calendar days after receipt of the transcript (or receipt of post-hearing briefs where the contractor allows for them).  The contractor may also issue an order limiting the scope of the hearing, or issue a decision without holding a hearing, where the contractor determines that some, or all, facts are not in genuine dispute.</w:t>
      </w:r>
    </w:p>
    <w:p w14:paraId="517677B3" w14:textId="77777777" w:rsidR="00F5358B" w:rsidRDefault="00F5358B" w:rsidP="00F5358B">
      <w:pPr>
        <w:numPr>
          <w:ilvl w:val="12"/>
          <w:numId w:val="0"/>
        </w:numPr>
        <w:jc w:val="both"/>
        <w:rPr>
          <w:b w:val="0"/>
          <w:bCs w:val="0"/>
        </w:rPr>
      </w:pPr>
    </w:p>
    <w:p w14:paraId="48DAEE89" w14:textId="77777777" w:rsidR="00F5358B" w:rsidRDefault="00F5358B" w:rsidP="00F5358B">
      <w:pPr>
        <w:pStyle w:val="Level1"/>
        <w:numPr>
          <w:ilvl w:val="0"/>
          <w:numId w:val="2"/>
        </w:numPr>
        <w:tabs>
          <w:tab w:val="left" w:pos="720"/>
        </w:tabs>
        <w:ind w:left="720" w:hanging="720"/>
        <w:jc w:val="both"/>
        <w:rPr>
          <w:b w:val="0"/>
          <w:bCs w:val="0"/>
        </w:rPr>
      </w:pPr>
      <w:r>
        <w:t xml:space="preserve">Transmitting the decision and record to EEOC.  </w:t>
      </w:r>
    </w:p>
    <w:p w14:paraId="11FDD5D0" w14:textId="77777777" w:rsidR="00F5358B" w:rsidRDefault="00F5358B" w:rsidP="00F5358B">
      <w:pPr>
        <w:numPr>
          <w:ilvl w:val="12"/>
          <w:numId w:val="0"/>
        </w:numPr>
        <w:jc w:val="both"/>
        <w:rPr>
          <w:b w:val="0"/>
          <w:bCs w:val="0"/>
        </w:rPr>
      </w:pPr>
    </w:p>
    <w:p w14:paraId="52005072" w14:textId="77777777" w:rsidR="00F5358B" w:rsidRDefault="00F5358B" w:rsidP="00F5358B">
      <w:pPr>
        <w:numPr>
          <w:ilvl w:val="12"/>
          <w:numId w:val="0"/>
        </w:numPr>
        <w:ind w:left="720"/>
        <w:jc w:val="both"/>
        <w:rPr>
          <w:b w:val="0"/>
          <w:bCs w:val="0"/>
        </w:rPr>
      </w:pPr>
      <w:r>
        <w:t>Transmitting the decision and complete record to the complainant, his or her representative, if any, and to the EEOC’s COR and Office of Equal Opportunity in a timely fashion is a critical performance element of an Administrative Judge’s contract.  The time for an agency to take final action does not begin until the agency receives a copy of the record, including the decision that concludes all phases of the hearing process.  See 29 C.F.R. §1614.110(a).</w:t>
      </w:r>
    </w:p>
    <w:p w14:paraId="711B14FB" w14:textId="77777777" w:rsidR="00F5358B" w:rsidRDefault="00F5358B" w:rsidP="00F5358B">
      <w:pPr>
        <w:numPr>
          <w:ilvl w:val="12"/>
          <w:numId w:val="0"/>
        </w:numPr>
        <w:jc w:val="both"/>
        <w:rPr>
          <w:b w:val="0"/>
          <w:bCs w:val="0"/>
        </w:rPr>
      </w:pPr>
      <w:r>
        <w:tab/>
      </w:r>
      <w:r>
        <w:tab/>
      </w:r>
    </w:p>
    <w:p w14:paraId="0C83BA2E" w14:textId="7BA860C0" w:rsidR="00F5358B" w:rsidRPr="00B447D9" w:rsidRDefault="00F5358B" w:rsidP="00B447D9">
      <w:pPr>
        <w:numPr>
          <w:ilvl w:val="12"/>
          <w:numId w:val="0"/>
        </w:numPr>
        <w:ind w:left="720"/>
        <w:jc w:val="both"/>
        <w:rPr>
          <w:b w:val="0"/>
          <w:bCs w:val="0"/>
        </w:rPr>
      </w:pPr>
      <w:r>
        <w:t>If a hearing is held on the complaint, the contractor shall distribute copies of the decision and the record to the parties within 30 calendar days after receipt of the transcript.  If a hearing is not held on the complaint, the contractor shall send to the parties’ copies of the record, including the contractor’s decision or Order that concludes the hearing process, within 30</w:t>
      </w:r>
      <w:r w:rsidR="00174C14">
        <w:t xml:space="preserve"> calendar</w:t>
      </w:r>
      <w:r>
        <w:t xml:space="preserve"> days of the resolution of the complaint.  A Certificate of Service shall accompany the transmittal.</w:t>
      </w:r>
    </w:p>
    <w:p w14:paraId="169A3A64" w14:textId="77777777" w:rsidR="00DA7542" w:rsidRDefault="00DA7542" w:rsidP="00DA7542">
      <w:pPr>
        <w:pStyle w:val="ListParagraph"/>
        <w:spacing w:after="200" w:line="276" w:lineRule="auto"/>
        <w:ind w:left="0"/>
      </w:pPr>
    </w:p>
    <w:p w14:paraId="04DE4195" w14:textId="27F10BCF" w:rsidR="00345356" w:rsidRPr="00DA7542" w:rsidRDefault="00DA7542" w:rsidP="00DA7542">
      <w:pPr>
        <w:pStyle w:val="ListParagraph"/>
        <w:numPr>
          <w:ilvl w:val="0"/>
          <w:numId w:val="2"/>
        </w:numPr>
        <w:spacing w:after="200" w:line="276" w:lineRule="auto"/>
        <w:rPr>
          <w:rFonts w:eastAsia="Calibri"/>
          <w:sz w:val="22"/>
          <w:szCs w:val="22"/>
        </w:rPr>
      </w:pPr>
      <w:r>
        <w:rPr>
          <w:rFonts w:eastAsia="Calibri"/>
          <w:sz w:val="22"/>
          <w:szCs w:val="22"/>
        </w:rPr>
        <w:lastRenderedPageBreak/>
        <w:t xml:space="preserve">          </w:t>
      </w:r>
      <w:r w:rsidR="00345356" w:rsidRPr="00DA7542">
        <w:rPr>
          <w:rFonts w:eastAsia="Calibri"/>
          <w:sz w:val="22"/>
          <w:szCs w:val="22"/>
        </w:rPr>
        <w:t xml:space="preserve">The period of performance under this </w:t>
      </w:r>
      <w:r w:rsidR="00C520F3">
        <w:rPr>
          <w:rFonts w:eastAsia="Calibri"/>
          <w:sz w:val="22"/>
          <w:szCs w:val="22"/>
        </w:rPr>
        <w:t>BPA</w:t>
      </w:r>
      <w:r w:rsidR="00345356" w:rsidRPr="00DA7542">
        <w:rPr>
          <w:rFonts w:eastAsia="Calibri"/>
          <w:sz w:val="22"/>
          <w:szCs w:val="22"/>
        </w:rPr>
        <w:t xml:space="preserve"> consists of a base year of twelve (12)</w:t>
      </w:r>
      <w:r w:rsidR="00C520F3">
        <w:rPr>
          <w:rFonts w:eastAsia="Calibri"/>
          <w:sz w:val="22"/>
          <w:szCs w:val="22"/>
        </w:rPr>
        <w:t xml:space="preserve"> </w:t>
      </w:r>
      <w:r>
        <w:rPr>
          <w:rFonts w:eastAsia="Calibri"/>
          <w:sz w:val="22"/>
          <w:szCs w:val="22"/>
        </w:rPr>
        <w:t>m</w:t>
      </w:r>
      <w:r w:rsidR="00345356" w:rsidRPr="00DA7542">
        <w:rPr>
          <w:rFonts w:eastAsia="Calibri"/>
          <w:sz w:val="22"/>
          <w:szCs w:val="22"/>
        </w:rPr>
        <w:t xml:space="preserve">onths with (2) one-year option periods to extend the term of the </w:t>
      </w:r>
      <w:r w:rsidR="00C520F3">
        <w:rPr>
          <w:rFonts w:eastAsia="Calibri"/>
          <w:sz w:val="22"/>
          <w:szCs w:val="22"/>
        </w:rPr>
        <w:t>BPA</w:t>
      </w:r>
      <w:r w:rsidR="00345356" w:rsidRPr="00DA7542">
        <w:rPr>
          <w:rFonts w:eastAsia="Calibri"/>
          <w:sz w:val="22"/>
          <w:szCs w:val="22"/>
        </w:rPr>
        <w:t xml:space="preserve"> as follows:</w:t>
      </w:r>
    </w:p>
    <w:p w14:paraId="7D81E564" w14:textId="77777777" w:rsidR="00345356" w:rsidRPr="000470F8" w:rsidRDefault="00345356" w:rsidP="00345356">
      <w:pPr>
        <w:rPr>
          <w:sz w:val="26"/>
          <w:szCs w:val="26"/>
        </w:rPr>
      </w:pPr>
    </w:p>
    <w:p w14:paraId="5A85683D" w14:textId="2E42C74D" w:rsidR="00345356" w:rsidRDefault="00345356" w:rsidP="00345356">
      <w:pPr>
        <w:ind w:firstLine="720"/>
      </w:pPr>
      <w:r w:rsidRPr="00702E7F">
        <w:t xml:space="preserve">The total duration of the </w:t>
      </w:r>
      <w:r w:rsidR="00C520F3">
        <w:t>BPA</w:t>
      </w:r>
      <w:r w:rsidRPr="00702E7F">
        <w:t xml:space="preserve"> shall not exceed 36 months if the options are </w:t>
      </w:r>
    </w:p>
    <w:p w14:paraId="7B4A1AF2" w14:textId="33C1034B" w:rsidR="00345356" w:rsidRPr="00702E7F" w:rsidRDefault="00DA7542" w:rsidP="00345356">
      <w:pPr>
        <w:ind w:firstLine="720"/>
      </w:pPr>
      <w:r>
        <w:t>e</w:t>
      </w:r>
      <w:r w:rsidR="00345356" w:rsidRPr="00702E7F">
        <w:t>xercised.</w:t>
      </w:r>
    </w:p>
    <w:p w14:paraId="34BCE834" w14:textId="33AC632C" w:rsidR="00345356" w:rsidRDefault="00345356" w:rsidP="00F5358B">
      <w:pPr>
        <w:numPr>
          <w:ilvl w:val="12"/>
          <w:numId w:val="0"/>
        </w:numPr>
        <w:ind w:left="720"/>
        <w:jc w:val="both"/>
        <w:sectPr w:rsidR="00345356">
          <w:type w:val="continuous"/>
          <w:pgSz w:w="12240" w:h="15840"/>
          <w:pgMar w:top="1440" w:right="1440" w:bottom="1440" w:left="1440" w:header="1440" w:footer="1440" w:gutter="0"/>
          <w:cols w:space="720"/>
        </w:sectPr>
      </w:pPr>
    </w:p>
    <w:p w14:paraId="4E24DAAC" w14:textId="77777777" w:rsidR="00F5358B" w:rsidRDefault="00F5358B" w:rsidP="00F5358B">
      <w:pPr>
        <w:spacing w:line="2" w:lineRule="exact"/>
      </w:pPr>
    </w:p>
    <w:p w14:paraId="76E5D2C5" w14:textId="77777777" w:rsidR="00F5358B" w:rsidRDefault="00F5358B" w:rsidP="00F5358B">
      <w:pPr>
        <w:numPr>
          <w:ilvl w:val="12"/>
          <w:numId w:val="0"/>
        </w:numPr>
        <w:jc w:val="both"/>
        <w:rPr>
          <w:b w:val="0"/>
          <w:bCs w:val="0"/>
        </w:rPr>
      </w:pPr>
    </w:p>
    <w:p w14:paraId="69D3CB0C" w14:textId="77777777" w:rsidR="00F5358B" w:rsidRDefault="00F5358B" w:rsidP="00F5358B">
      <w:pPr>
        <w:numPr>
          <w:ilvl w:val="12"/>
          <w:numId w:val="0"/>
        </w:numPr>
        <w:jc w:val="both"/>
        <w:sectPr w:rsidR="00F5358B">
          <w:type w:val="continuous"/>
          <w:pgSz w:w="12240" w:h="15840"/>
          <w:pgMar w:top="1440" w:right="1440" w:bottom="1440" w:left="1440" w:header="1440" w:footer="1440" w:gutter="0"/>
          <w:cols w:space="720"/>
        </w:sectPr>
      </w:pPr>
    </w:p>
    <w:p w14:paraId="7D217262" w14:textId="77777777" w:rsidR="00F5358B" w:rsidRDefault="00F5358B" w:rsidP="00F5358B">
      <w:pPr>
        <w:spacing w:line="2" w:lineRule="exact"/>
      </w:pPr>
    </w:p>
    <w:p w14:paraId="0D3975D4" w14:textId="77777777" w:rsidR="00F5358B" w:rsidRDefault="00F5358B" w:rsidP="00F5358B">
      <w:pPr>
        <w:numPr>
          <w:ilvl w:val="12"/>
          <w:numId w:val="0"/>
        </w:numPr>
        <w:jc w:val="both"/>
        <w:rPr>
          <w:b w:val="0"/>
          <w:bCs w:val="0"/>
        </w:rPr>
      </w:pPr>
    </w:p>
    <w:p w14:paraId="3129BBA8" w14:textId="77777777" w:rsidR="00DA7542" w:rsidRPr="00DA7542" w:rsidRDefault="00DA7542" w:rsidP="00DA7542">
      <w:pPr>
        <w:pStyle w:val="Level1"/>
        <w:numPr>
          <w:ilvl w:val="0"/>
          <w:numId w:val="2"/>
        </w:numPr>
        <w:tabs>
          <w:tab w:val="left" w:pos="720"/>
        </w:tabs>
        <w:jc w:val="both"/>
        <w:rPr>
          <w:b w:val="0"/>
          <w:bCs w:val="0"/>
        </w:rPr>
      </w:pPr>
      <w:r>
        <w:t xml:space="preserve">          </w:t>
      </w:r>
      <w:r w:rsidR="00F5358B">
        <w:t>Progress reports.  The contractor shall submit a progress report to the COR on a</w:t>
      </w:r>
    </w:p>
    <w:p w14:paraId="3ECD4F1C" w14:textId="77777777" w:rsidR="00DA7542" w:rsidRDefault="00DA7542" w:rsidP="00DA7542">
      <w:pPr>
        <w:pStyle w:val="Level1"/>
        <w:tabs>
          <w:tab w:val="left" w:pos="720"/>
        </w:tabs>
        <w:ind w:left="1"/>
        <w:jc w:val="both"/>
      </w:pPr>
      <w:r>
        <w:tab/>
      </w:r>
      <w:r w:rsidR="00F5358B">
        <w:t xml:space="preserve"> monthly basis.  The contractor shall provide copies of the Acknowledgment and</w:t>
      </w:r>
    </w:p>
    <w:p w14:paraId="37758B44" w14:textId="77777777" w:rsidR="00DA7542" w:rsidRDefault="00DA7542" w:rsidP="00DA7542">
      <w:pPr>
        <w:pStyle w:val="Level1"/>
        <w:tabs>
          <w:tab w:val="left" w:pos="720"/>
        </w:tabs>
        <w:ind w:left="1"/>
        <w:jc w:val="both"/>
      </w:pPr>
      <w:r>
        <w:tab/>
      </w:r>
      <w:r w:rsidR="00F5358B">
        <w:t xml:space="preserve"> </w:t>
      </w:r>
      <w:proofErr w:type="gramStart"/>
      <w:r w:rsidR="00F5358B">
        <w:t>Order,</w:t>
      </w:r>
      <w:proofErr w:type="gramEnd"/>
      <w:r w:rsidR="00F5358B">
        <w:t xml:space="preserve"> notice of scheduled hearing date(s), notices of extensions granted, Orders,</w:t>
      </w:r>
    </w:p>
    <w:p w14:paraId="7E326B31" w14:textId="77777777" w:rsidR="00DA7542" w:rsidRDefault="00DA7542" w:rsidP="00DA7542">
      <w:pPr>
        <w:pStyle w:val="Level1"/>
        <w:tabs>
          <w:tab w:val="left" w:pos="720"/>
        </w:tabs>
        <w:ind w:left="1"/>
        <w:jc w:val="both"/>
      </w:pPr>
      <w:r>
        <w:tab/>
      </w:r>
      <w:r w:rsidR="00F5358B">
        <w:t xml:space="preserve"> rulings, and correspondence that may require support from OEO to the COR. The</w:t>
      </w:r>
    </w:p>
    <w:p w14:paraId="33C56AA0" w14:textId="77777777" w:rsidR="00DA7542" w:rsidRDefault="00DA7542" w:rsidP="00DA7542">
      <w:pPr>
        <w:pStyle w:val="Level1"/>
        <w:tabs>
          <w:tab w:val="left" w:pos="720"/>
        </w:tabs>
        <w:ind w:left="1"/>
        <w:jc w:val="both"/>
      </w:pPr>
      <w:r>
        <w:tab/>
      </w:r>
      <w:r w:rsidR="00F5358B">
        <w:t xml:space="preserve"> contractor will inform the COR by email, with at least thirty (30)</w:t>
      </w:r>
      <w:r w:rsidR="00174C14">
        <w:t xml:space="preserve"> calendar</w:t>
      </w:r>
      <w:r w:rsidR="00F5358B">
        <w:t xml:space="preserve"> days in</w:t>
      </w:r>
    </w:p>
    <w:p w14:paraId="7069F106" w14:textId="379839B8" w:rsidR="00F5358B" w:rsidRDefault="00DA7542" w:rsidP="00DA7542">
      <w:pPr>
        <w:pStyle w:val="Level1"/>
        <w:tabs>
          <w:tab w:val="left" w:pos="720"/>
        </w:tabs>
        <w:ind w:left="1"/>
        <w:jc w:val="both"/>
        <w:rPr>
          <w:b w:val="0"/>
          <w:bCs w:val="0"/>
        </w:rPr>
      </w:pPr>
      <w:r>
        <w:tab/>
      </w:r>
      <w:r w:rsidR="00F5358B">
        <w:t xml:space="preserve"> advance, of a schedule hearing date.  </w:t>
      </w:r>
    </w:p>
    <w:p w14:paraId="2B505710" w14:textId="77777777" w:rsidR="00F5358B" w:rsidRDefault="00F5358B" w:rsidP="00F5358B">
      <w:pPr>
        <w:pStyle w:val="ListParagraph"/>
        <w:rPr>
          <w:b w:val="0"/>
          <w:bCs w:val="0"/>
        </w:rPr>
      </w:pPr>
    </w:p>
    <w:p w14:paraId="2D3251C0" w14:textId="77777777" w:rsidR="00DA7542" w:rsidRPr="00DA7542" w:rsidRDefault="00DA7542" w:rsidP="00DA7542">
      <w:pPr>
        <w:pStyle w:val="Level1"/>
        <w:numPr>
          <w:ilvl w:val="0"/>
          <w:numId w:val="2"/>
        </w:numPr>
        <w:tabs>
          <w:tab w:val="left" w:pos="720"/>
        </w:tabs>
        <w:jc w:val="both"/>
        <w:rPr>
          <w:b w:val="0"/>
          <w:bCs w:val="0"/>
        </w:rPr>
      </w:pPr>
      <w:r>
        <w:t xml:space="preserve">   </w:t>
      </w:r>
      <w:r>
        <w:tab/>
      </w:r>
      <w:r w:rsidR="00F5358B">
        <w:t>Place of Performance.  Work will be performed in the continental U.S. (CONUS)</w:t>
      </w:r>
    </w:p>
    <w:p w14:paraId="4428B93C" w14:textId="34B5765C" w:rsidR="00F5358B" w:rsidRDefault="00DA7542" w:rsidP="00DA7542">
      <w:pPr>
        <w:pStyle w:val="Level1"/>
        <w:tabs>
          <w:tab w:val="left" w:pos="720"/>
        </w:tabs>
        <w:ind w:left="1"/>
        <w:jc w:val="both"/>
        <w:rPr>
          <w:b w:val="0"/>
          <w:bCs w:val="0"/>
        </w:rPr>
      </w:pPr>
      <w:r>
        <w:tab/>
      </w:r>
      <w:r w:rsidR="00F5358B">
        <w:t>including but not limited to the following locations:</w:t>
      </w:r>
    </w:p>
    <w:p w14:paraId="69570404" w14:textId="77777777" w:rsidR="00F5358B" w:rsidRDefault="00F5358B" w:rsidP="00F5358B">
      <w:pPr>
        <w:pStyle w:val="ListParagraph"/>
        <w:rPr>
          <w:b w:val="0"/>
          <w:bCs w:val="0"/>
        </w:rPr>
      </w:pPr>
    </w:p>
    <w:tbl>
      <w:tblPr>
        <w:tblStyle w:val="TableGrid"/>
        <w:tblW w:w="0" w:type="auto"/>
        <w:tblInd w:w="720" w:type="dxa"/>
        <w:tblLook w:val="04A0" w:firstRow="1" w:lastRow="0" w:firstColumn="1" w:lastColumn="0" w:noHBand="0" w:noVBand="1"/>
      </w:tblPr>
      <w:tblGrid>
        <w:gridCol w:w="2324"/>
        <w:gridCol w:w="1784"/>
        <w:gridCol w:w="2218"/>
        <w:gridCol w:w="2304"/>
      </w:tblGrid>
      <w:tr w:rsidR="00F5358B" w14:paraId="44144DAB" w14:textId="77777777" w:rsidTr="00702E7F">
        <w:tc>
          <w:tcPr>
            <w:tcW w:w="2358" w:type="dxa"/>
          </w:tcPr>
          <w:p w14:paraId="4A4209C2" w14:textId="77777777" w:rsidR="00F5358B" w:rsidRPr="00E64473" w:rsidRDefault="00F5358B" w:rsidP="00702E7F">
            <w:pPr>
              <w:pStyle w:val="Level1"/>
              <w:tabs>
                <w:tab w:val="left" w:pos="720"/>
              </w:tabs>
              <w:ind w:left="0"/>
              <w:rPr>
                <w:b/>
                <w:bCs/>
                <w:sz w:val="22"/>
                <w:szCs w:val="22"/>
              </w:rPr>
            </w:pPr>
            <w:r w:rsidRPr="00E64473">
              <w:rPr>
                <w:sz w:val="22"/>
                <w:szCs w:val="22"/>
                <w:shd w:val="clear" w:color="auto" w:fill="FFFFFF"/>
              </w:rPr>
              <w:t>Albuquerque, NM</w:t>
            </w:r>
          </w:p>
        </w:tc>
        <w:tc>
          <w:tcPr>
            <w:tcW w:w="1800" w:type="dxa"/>
          </w:tcPr>
          <w:p w14:paraId="627D3E6D" w14:textId="77777777" w:rsidR="00F5358B" w:rsidRPr="00E64473" w:rsidRDefault="00F5358B" w:rsidP="00702E7F">
            <w:pPr>
              <w:pStyle w:val="Level1"/>
              <w:tabs>
                <w:tab w:val="left" w:pos="720"/>
              </w:tabs>
              <w:ind w:left="0"/>
              <w:rPr>
                <w:b/>
                <w:bCs/>
                <w:sz w:val="22"/>
                <w:szCs w:val="22"/>
              </w:rPr>
            </w:pPr>
            <w:r w:rsidRPr="00E64473">
              <w:rPr>
                <w:sz w:val="22"/>
                <w:szCs w:val="22"/>
                <w:shd w:val="clear" w:color="auto" w:fill="FFFFFF"/>
              </w:rPr>
              <w:t>El Paso, TX</w:t>
            </w:r>
          </w:p>
        </w:tc>
        <w:tc>
          <w:tcPr>
            <w:tcW w:w="2250" w:type="dxa"/>
          </w:tcPr>
          <w:p w14:paraId="79D0CB76" w14:textId="77777777" w:rsidR="00F5358B" w:rsidRPr="00E64473" w:rsidRDefault="00F5358B" w:rsidP="00702E7F">
            <w:pPr>
              <w:pStyle w:val="Level1"/>
              <w:tabs>
                <w:tab w:val="left" w:pos="720"/>
              </w:tabs>
              <w:ind w:left="0"/>
              <w:rPr>
                <w:b/>
                <w:bCs/>
                <w:sz w:val="22"/>
                <w:szCs w:val="22"/>
              </w:rPr>
            </w:pPr>
            <w:r w:rsidRPr="00E64473">
              <w:rPr>
                <w:sz w:val="22"/>
                <w:szCs w:val="22"/>
                <w:shd w:val="clear" w:color="auto" w:fill="FFFFFF"/>
              </w:rPr>
              <w:t>Louisville, KY</w:t>
            </w:r>
          </w:p>
        </w:tc>
        <w:tc>
          <w:tcPr>
            <w:tcW w:w="2340" w:type="dxa"/>
          </w:tcPr>
          <w:p w14:paraId="5A1A7556" w14:textId="77777777" w:rsidR="00F5358B" w:rsidRPr="00E64473" w:rsidRDefault="00F5358B" w:rsidP="00702E7F">
            <w:pPr>
              <w:pStyle w:val="Level1"/>
              <w:tabs>
                <w:tab w:val="left" w:pos="720"/>
              </w:tabs>
              <w:ind w:left="0"/>
              <w:rPr>
                <w:b/>
                <w:bCs/>
                <w:sz w:val="22"/>
                <w:szCs w:val="22"/>
              </w:rPr>
            </w:pPr>
            <w:r w:rsidRPr="00E64473">
              <w:rPr>
                <w:sz w:val="22"/>
                <w:szCs w:val="22"/>
                <w:shd w:val="clear" w:color="auto" w:fill="FFFFFF"/>
              </w:rPr>
              <w:t>Raleigh, NC</w:t>
            </w:r>
          </w:p>
        </w:tc>
      </w:tr>
      <w:tr w:rsidR="00F5358B" w14:paraId="1C0D36FD" w14:textId="77777777" w:rsidTr="00702E7F">
        <w:tc>
          <w:tcPr>
            <w:tcW w:w="2358" w:type="dxa"/>
          </w:tcPr>
          <w:p w14:paraId="59F46266" w14:textId="77777777" w:rsidR="00F5358B" w:rsidRPr="00E64473" w:rsidRDefault="00F5358B" w:rsidP="00702E7F">
            <w:pPr>
              <w:pStyle w:val="Level1"/>
              <w:tabs>
                <w:tab w:val="left" w:pos="720"/>
              </w:tabs>
              <w:ind w:left="0"/>
              <w:rPr>
                <w:b/>
                <w:bCs/>
                <w:sz w:val="22"/>
                <w:szCs w:val="22"/>
              </w:rPr>
            </w:pPr>
            <w:r w:rsidRPr="00E64473">
              <w:rPr>
                <w:sz w:val="22"/>
                <w:szCs w:val="22"/>
                <w:shd w:val="clear" w:color="auto" w:fill="FFFFFF"/>
              </w:rPr>
              <w:t>Atlanta, GA</w:t>
            </w:r>
          </w:p>
        </w:tc>
        <w:tc>
          <w:tcPr>
            <w:tcW w:w="1800" w:type="dxa"/>
          </w:tcPr>
          <w:p w14:paraId="0F6FD5A0" w14:textId="77777777" w:rsidR="00F5358B" w:rsidRPr="00E64473" w:rsidRDefault="00F5358B" w:rsidP="00702E7F">
            <w:pPr>
              <w:pStyle w:val="Level1"/>
              <w:tabs>
                <w:tab w:val="left" w:pos="720"/>
              </w:tabs>
              <w:ind w:left="0"/>
              <w:rPr>
                <w:b/>
                <w:bCs/>
                <w:sz w:val="22"/>
                <w:szCs w:val="22"/>
              </w:rPr>
            </w:pPr>
            <w:r w:rsidRPr="00E64473">
              <w:rPr>
                <w:sz w:val="22"/>
                <w:szCs w:val="22"/>
                <w:shd w:val="clear" w:color="auto" w:fill="FFFFFF"/>
              </w:rPr>
              <w:t>Fresno, CA</w:t>
            </w:r>
          </w:p>
        </w:tc>
        <w:tc>
          <w:tcPr>
            <w:tcW w:w="2250" w:type="dxa"/>
          </w:tcPr>
          <w:p w14:paraId="5063042F" w14:textId="77777777" w:rsidR="00F5358B" w:rsidRPr="00E64473" w:rsidRDefault="00F5358B" w:rsidP="00702E7F">
            <w:pPr>
              <w:pStyle w:val="Level1"/>
              <w:tabs>
                <w:tab w:val="left" w:pos="720"/>
              </w:tabs>
              <w:ind w:left="0"/>
              <w:rPr>
                <w:b/>
                <w:bCs/>
                <w:sz w:val="22"/>
                <w:szCs w:val="22"/>
              </w:rPr>
            </w:pPr>
            <w:r w:rsidRPr="00E64473">
              <w:rPr>
                <w:sz w:val="22"/>
                <w:szCs w:val="22"/>
                <w:shd w:val="clear" w:color="auto" w:fill="FFFFFF"/>
              </w:rPr>
              <w:t>Memphis, TN 38104</w:t>
            </w:r>
          </w:p>
        </w:tc>
        <w:tc>
          <w:tcPr>
            <w:tcW w:w="2340" w:type="dxa"/>
          </w:tcPr>
          <w:p w14:paraId="01A46D99" w14:textId="77777777" w:rsidR="00F5358B" w:rsidRPr="00E64473" w:rsidRDefault="00F5358B" w:rsidP="00702E7F">
            <w:pPr>
              <w:pStyle w:val="Level1"/>
              <w:tabs>
                <w:tab w:val="left" w:pos="720"/>
              </w:tabs>
              <w:ind w:left="0"/>
              <w:rPr>
                <w:b/>
                <w:bCs/>
                <w:sz w:val="22"/>
                <w:szCs w:val="22"/>
              </w:rPr>
            </w:pPr>
            <w:r w:rsidRPr="00E64473">
              <w:rPr>
                <w:sz w:val="22"/>
                <w:szCs w:val="22"/>
                <w:shd w:val="clear" w:color="auto" w:fill="FFFFFF"/>
              </w:rPr>
              <w:t>Richmond, VA</w:t>
            </w:r>
          </w:p>
        </w:tc>
      </w:tr>
      <w:tr w:rsidR="00F5358B" w14:paraId="3C2DE3E8" w14:textId="77777777" w:rsidTr="00702E7F">
        <w:tc>
          <w:tcPr>
            <w:tcW w:w="2358" w:type="dxa"/>
          </w:tcPr>
          <w:p w14:paraId="4203486D" w14:textId="77777777" w:rsidR="00F5358B" w:rsidRPr="00E64473" w:rsidRDefault="00F5358B" w:rsidP="00702E7F">
            <w:pPr>
              <w:pStyle w:val="Level1"/>
              <w:tabs>
                <w:tab w:val="left" w:pos="720"/>
              </w:tabs>
              <w:ind w:left="0"/>
              <w:rPr>
                <w:b/>
                <w:bCs/>
                <w:sz w:val="22"/>
                <w:szCs w:val="22"/>
              </w:rPr>
            </w:pPr>
            <w:r w:rsidRPr="00E64473">
              <w:rPr>
                <w:sz w:val="22"/>
                <w:szCs w:val="22"/>
                <w:shd w:val="clear" w:color="auto" w:fill="FFFFFF"/>
              </w:rPr>
              <w:t>Baltimore, MD 21201</w:t>
            </w:r>
          </w:p>
        </w:tc>
        <w:tc>
          <w:tcPr>
            <w:tcW w:w="1800" w:type="dxa"/>
          </w:tcPr>
          <w:p w14:paraId="12FE4BA3" w14:textId="77777777" w:rsidR="00F5358B" w:rsidRPr="00E64473" w:rsidRDefault="00F5358B" w:rsidP="00702E7F">
            <w:pPr>
              <w:pStyle w:val="Level1"/>
              <w:tabs>
                <w:tab w:val="left" w:pos="720"/>
              </w:tabs>
              <w:ind w:left="0"/>
              <w:rPr>
                <w:b/>
                <w:bCs/>
                <w:sz w:val="22"/>
                <w:szCs w:val="22"/>
              </w:rPr>
            </w:pPr>
            <w:r w:rsidRPr="00E64473">
              <w:rPr>
                <w:sz w:val="22"/>
                <w:szCs w:val="22"/>
                <w:shd w:val="clear" w:color="auto" w:fill="FFFFFF"/>
              </w:rPr>
              <w:t>Greensboro, NC</w:t>
            </w:r>
          </w:p>
        </w:tc>
        <w:tc>
          <w:tcPr>
            <w:tcW w:w="2250" w:type="dxa"/>
          </w:tcPr>
          <w:p w14:paraId="40A879B1" w14:textId="77777777" w:rsidR="00F5358B" w:rsidRPr="00E64473" w:rsidRDefault="00F5358B" w:rsidP="00702E7F">
            <w:pPr>
              <w:pStyle w:val="Level1"/>
              <w:tabs>
                <w:tab w:val="left" w:pos="720"/>
              </w:tabs>
              <w:ind w:left="0"/>
              <w:rPr>
                <w:b/>
                <w:bCs/>
                <w:sz w:val="22"/>
                <w:szCs w:val="22"/>
              </w:rPr>
            </w:pPr>
            <w:r w:rsidRPr="00E64473">
              <w:rPr>
                <w:sz w:val="22"/>
                <w:szCs w:val="22"/>
                <w:shd w:val="clear" w:color="auto" w:fill="FFFFFF"/>
              </w:rPr>
              <w:t>Miami, FL</w:t>
            </w:r>
          </w:p>
        </w:tc>
        <w:tc>
          <w:tcPr>
            <w:tcW w:w="2340" w:type="dxa"/>
          </w:tcPr>
          <w:p w14:paraId="1A514E19" w14:textId="77777777" w:rsidR="00F5358B" w:rsidRPr="00E64473" w:rsidRDefault="00F5358B" w:rsidP="00702E7F">
            <w:pPr>
              <w:pStyle w:val="Level1"/>
              <w:tabs>
                <w:tab w:val="left" w:pos="720"/>
              </w:tabs>
              <w:ind w:left="0"/>
              <w:rPr>
                <w:b/>
                <w:bCs/>
                <w:sz w:val="22"/>
                <w:szCs w:val="22"/>
              </w:rPr>
            </w:pPr>
            <w:r w:rsidRPr="00E64473">
              <w:rPr>
                <w:sz w:val="22"/>
                <w:szCs w:val="22"/>
                <w:shd w:val="clear" w:color="auto" w:fill="FFFFFF"/>
              </w:rPr>
              <w:t>San Antonio, TX</w:t>
            </w:r>
          </w:p>
        </w:tc>
      </w:tr>
      <w:tr w:rsidR="00F5358B" w14:paraId="0D070A3F" w14:textId="77777777" w:rsidTr="00702E7F">
        <w:tc>
          <w:tcPr>
            <w:tcW w:w="2358" w:type="dxa"/>
          </w:tcPr>
          <w:p w14:paraId="478D186B" w14:textId="77777777" w:rsidR="00F5358B" w:rsidRPr="00E64473" w:rsidRDefault="00F5358B" w:rsidP="00702E7F">
            <w:pPr>
              <w:pStyle w:val="Level1"/>
              <w:tabs>
                <w:tab w:val="left" w:pos="720"/>
              </w:tabs>
              <w:ind w:left="0"/>
              <w:rPr>
                <w:b/>
                <w:bCs/>
                <w:sz w:val="22"/>
                <w:szCs w:val="22"/>
              </w:rPr>
            </w:pPr>
            <w:r w:rsidRPr="00E64473">
              <w:rPr>
                <w:sz w:val="22"/>
                <w:szCs w:val="22"/>
                <w:shd w:val="clear" w:color="auto" w:fill="FFFFFF"/>
              </w:rPr>
              <w:t>Birmingham, AL</w:t>
            </w:r>
          </w:p>
        </w:tc>
        <w:tc>
          <w:tcPr>
            <w:tcW w:w="1800" w:type="dxa"/>
          </w:tcPr>
          <w:p w14:paraId="0AEE923F" w14:textId="77777777" w:rsidR="00F5358B" w:rsidRPr="00E64473" w:rsidRDefault="00F5358B" w:rsidP="00702E7F">
            <w:pPr>
              <w:pStyle w:val="Level1"/>
              <w:tabs>
                <w:tab w:val="left" w:pos="720"/>
              </w:tabs>
              <w:ind w:left="0"/>
              <w:rPr>
                <w:b/>
                <w:bCs/>
                <w:sz w:val="22"/>
                <w:szCs w:val="22"/>
              </w:rPr>
            </w:pPr>
            <w:r w:rsidRPr="00E64473">
              <w:rPr>
                <w:sz w:val="22"/>
                <w:szCs w:val="22"/>
                <w:shd w:val="clear" w:color="auto" w:fill="FFFFFF"/>
              </w:rPr>
              <w:t>Greenville, SC</w:t>
            </w:r>
          </w:p>
        </w:tc>
        <w:tc>
          <w:tcPr>
            <w:tcW w:w="2250" w:type="dxa"/>
          </w:tcPr>
          <w:p w14:paraId="7D6D3866" w14:textId="77777777" w:rsidR="00F5358B" w:rsidRPr="00E64473" w:rsidRDefault="00F5358B" w:rsidP="00702E7F">
            <w:pPr>
              <w:pStyle w:val="Level1"/>
              <w:tabs>
                <w:tab w:val="left" w:pos="720"/>
              </w:tabs>
              <w:ind w:left="0"/>
              <w:rPr>
                <w:b/>
                <w:bCs/>
                <w:sz w:val="22"/>
                <w:szCs w:val="22"/>
              </w:rPr>
            </w:pPr>
            <w:r w:rsidRPr="00E64473">
              <w:rPr>
                <w:sz w:val="22"/>
                <w:szCs w:val="22"/>
                <w:shd w:val="clear" w:color="auto" w:fill="FFFFFF"/>
              </w:rPr>
              <w:t>Nashville, TN</w:t>
            </w:r>
          </w:p>
        </w:tc>
        <w:tc>
          <w:tcPr>
            <w:tcW w:w="2340" w:type="dxa"/>
          </w:tcPr>
          <w:p w14:paraId="6219A620" w14:textId="77777777" w:rsidR="00F5358B" w:rsidRPr="00E64473" w:rsidRDefault="00F5358B" w:rsidP="00702E7F">
            <w:pPr>
              <w:pStyle w:val="Level1"/>
              <w:tabs>
                <w:tab w:val="left" w:pos="720"/>
              </w:tabs>
              <w:ind w:left="0"/>
              <w:rPr>
                <w:b/>
                <w:bCs/>
                <w:sz w:val="22"/>
                <w:szCs w:val="22"/>
              </w:rPr>
            </w:pPr>
            <w:r w:rsidRPr="00E64473">
              <w:rPr>
                <w:sz w:val="22"/>
                <w:szCs w:val="22"/>
                <w:shd w:val="clear" w:color="auto" w:fill="FFFFFF"/>
              </w:rPr>
              <w:t>San Diego, CA</w:t>
            </w:r>
          </w:p>
        </w:tc>
      </w:tr>
      <w:tr w:rsidR="00F5358B" w14:paraId="32E831BB" w14:textId="77777777" w:rsidTr="00702E7F">
        <w:tc>
          <w:tcPr>
            <w:tcW w:w="2358" w:type="dxa"/>
          </w:tcPr>
          <w:p w14:paraId="6220C696" w14:textId="77777777" w:rsidR="00F5358B" w:rsidRPr="00E64473" w:rsidRDefault="00F5358B" w:rsidP="00702E7F">
            <w:pPr>
              <w:pStyle w:val="Level1"/>
              <w:tabs>
                <w:tab w:val="left" w:pos="720"/>
              </w:tabs>
              <w:ind w:left="0"/>
              <w:rPr>
                <w:b/>
                <w:bCs/>
                <w:sz w:val="22"/>
                <w:szCs w:val="22"/>
              </w:rPr>
            </w:pPr>
            <w:r w:rsidRPr="00E64473">
              <w:rPr>
                <w:sz w:val="22"/>
                <w:szCs w:val="22"/>
                <w:shd w:val="clear" w:color="auto" w:fill="FFFFFF"/>
              </w:rPr>
              <w:t>Boston, MA</w:t>
            </w:r>
          </w:p>
        </w:tc>
        <w:tc>
          <w:tcPr>
            <w:tcW w:w="1800" w:type="dxa"/>
          </w:tcPr>
          <w:p w14:paraId="1E6F4F12" w14:textId="77777777" w:rsidR="00F5358B" w:rsidRPr="00E64473" w:rsidRDefault="00F5358B" w:rsidP="00702E7F">
            <w:pPr>
              <w:pStyle w:val="Level1"/>
              <w:tabs>
                <w:tab w:val="left" w:pos="720"/>
              </w:tabs>
              <w:ind w:left="0"/>
              <w:rPr>
                <w:b/>
                <w:bCs/>
                <w:sz w:val="22"/>
                <w:szCs w:val="22"/>
              </w:rPr>
            </w:pPr>
            <w:r w:rsidRPr="00E64473">
              <w:rPr>
                <w:sz w:val="22"/>
                <w:szCs w:val="22"/>
                <w:shd w:val="clear" w:color="auto" w:fill="FFFFFF"/>
              </w:rPr>
              <w:t>Honolulu, HI</w:t>
            </w:r>
          </w:p>
        </w:tc>
        <w:tc>
          <w:tcPr>
            <w:tcW w:w="2250" w:type="dxa"/>
          </w:tcPr>
          <w:p w14:paraId="2F393291" w14:textId="77777777" w:rsidR="00F5358B" w:rsidRPr="00E64473" w:rsidRDefault="00F5358B" w:rsidP="00702E7F">
            <w:pPr>
              <w:pStyle w:val="Level1"/>
              <w:tabs>
                <w:tab w:val="left" w:pos="720"/>
              </w:tabs>
              <w:ind w:left="0"/>
              <w:rPr>
                <w:b/>
                <w:bCs/>
                <w:sz w:val="22"/>
                <w:szCs w:val="22"/>
              </w:rPr>
            </w:pPr>
            <w:r w:rsidRPr="00E64473">
              <w:rPr>
                <w:sz w:val="22"/>
                <w:szCs w:val="22"/>
                <w:shd w:val="clear" w:color="auto" w:fill="FFFFFF"/>
              </w:rPr>
              <w:t>Newark, NJ</w:t>
            </w:r>
          </w:p>
        </w:tc>
        <w:tc>
          <w:tcPr>
            <w:tcW w:w="2340" w:type="dxa"/>
          </w:tcPr>
          <w:p w14:paraId="4055B406" w14:textId="77777777" w:rsidR="00F5358B" w:rsidRPr="00E64473" w:rsidRDefault="00F5358B" w:rsidP="00702E7F">
            <w:pPr>
              <w:pStyle w:val="Level1"/>
              <w:tabs>
                <w:tab w:val="left" w:pos="720"/>
              </w:tabs>
              <w:ind w:left="0"/>
              <w:rPr>
                <w:b/>
                <w:bCs/>
                <w:sz w:val="22"/>
                <w:szCs w:val="22"/>
              </w:rPr>
            </w:pPr>
            <w:r w:rsidRPr="00E64473">
              <w:rPr>
                <w:sz w:val="22"/>
                <w:szCs w:val="22"/>
                <w:shd w:val="clear" w:color="auto" w:fill="FFFFFF"/>
              </w:rPr>
              <w:t>San Francisco, CA</w:t>
            </w:r>
          </w:p>
        </w:tc>
      </w:tr>
      <w:tr w:rsidR="00F5358B" w14:paraId="7A3BAD74" w14:textId="77777777" w:rsidTr="00702E7F">
        <w:tc>
          <w:tcPr>
            <w:tcW w:w="2358" w:type="dxa"/>
          </w:tcPr>
          <w:p w14:paraId="10C8ADD3" w14:textId="77777777" w:rsidR="00F5358B" w:rsidRPr="00E64473" w:rsidRDefault="00F5358B" w:rsidP="00702E7F">
            <w:pPr>
              <w:pStyle w:val="Level1"/>
              <w:tabs>
                <w:tab w:val="left" w:pos="720"/>
              </w:tabs>
              <w:ind w:left="0"/>
              <w:rPr>
                <w:b/>
                <w:bCs/>
                <w:sz w:val="22"/>
                <w:szCs w:val="22"/>
              </w:rPr>
            </w:pPr>
            <w:r w:rsidRPr="00E64473">
              <w:rPr>
                <w:sz w:val="22"/>
                <w:szCs w:val="22"/>
                <w:shd w:val="clear" w:color="auto" w:fill="FFFFFF"/>
              </w:rPr>
              <w:t>Buffalo, NY</w:t>
            </w:r>
          </w:p>
        </w:tc>
        <w:tc>
          <w:tcPr>
            <w:tcW w:w="1800" w:type="dxa"/>
          </w:tcPr>
          <w:p w14:paraId="7DC137CA" w14:textId="77777777" w:rsidR="00F5358B" w:rsidRPr="00E64473" w:rsidRDefault="00F5358B" w:rsidP="00702E7F">
            <w:pPr>
              <w:pStyle w:val="Level1"/>
              <w:tabs>
                <w:tab w:val="left" w:pos="720"/>
              </w:tabs>
              <w:ind w:left="0"/>
              <w:rPr>
                <w:b/>
                <w:bCs/>
                <w:sz w:val="22"/>
                <w:szCs w:val="22"/>
              </w:rPr>
            </w:pPr>
            <w:r w:rsidRPr="00E64473">
              <w:rPr>
                <w:sz w:val="22"/>
                <w:szCs w:val="22"/>
                <w:shd w:val="clear" w:color="auto" w:fill="FFFFFF"/>
              </w:rPr>
              <w:t>Houston, TX</w:t>
            </w:r>
          </w:p>
        </w:tc>
        <w:tc>
          <w:tcPr>
            <w:tcW w:w="2250" w:type="dxa"/>
          </w:tcPr>
          <w:p w14:paraId="78862CCD" w14:textId="77777777" w:rsidR="00F5358B" w:rsidRPr="00E64473" w:rsidRDefault="00F5358B" w:rsidP="00702E7F">
            <w:pPr>
              <w:pStyle w:val="Level1"/>
              <w:tabs>
                <w:tab w:val="left" w:pos="720"/>
              </w:tabs>
              <w:ind w:left="0"/>
              <w:rPr>
                <w:b/>
                <w:bCs/>
                <w:sz w:val="22"/>
                <w:szCs w:val="22"/>
              </w:rPr>
            </w:pPr>
            <w:r w:rsidRPr="00E64473">
              <w:rPr>
                <w:sz w:val="22"/>
                <w:szCs w:val="22"/>
                <w:shd w:val="clear" w:color="auto" w:fill="FFFFFF"/>
              </w:rPr>
              <w:t>New Orleans, LA</w:t>
            </w:r>
          </w:p>
        </w:tc>
        <w:tc>
          <w:tcPr>
            <w:tcW w:w="2340" w:type="dxa"/>
          </w:tcPr>
          <w:p w14:paraId="4E71AE61" w14:textId="77777777" w:rsidR="00F5358B" w:rsidRPr="00E64473" w:rsidRDefault="00F5358B" w:rsidP="00702E7F">
            <w:pPr>
              <w:pStyle w:val="Level1"/>
              <w:tabs>
                <w:tab w:val="left" w:pos="720"/>
              </w:tabs>
              <w:ind w:left="0"/>
              <w:rPr>
                <w:b/>
                <w:sz w:val="22"/>
                <w:szCs w:val="22"/>
                <w:shd w:val="clear" w:color="auto" w:fill="FFFFFF"/>
              </w:rPr>
            </w:pPr>
            <w:r w:rsidRPr="00E64473">
              <w:rPr>
                <w:sz w:val="22"/>
                <w:szCs w:val="22"/>
                <w:shd w:val="clear" w:color="auto" w:fill="FFFFFF"/>
              </w:rPr>
              <w:t>San Jose, CA 95112</w:t>
            </w:r>
          </w:p>
        </w:tc>
      </w:tr>
      <w:tr w:rsidR="00F5358B" w14:paraId="5DCB137A" w14:textId="77777777" w:rsidTr="00702E7F">
        <w:tc>
          <w:tcPr>
            <w:tcW w:w="2358" w:type="dxa"/>
          </w:tcPr>
          <w:p w14:paraId="5E7A42C2" w14:textId="77777777" w:rsidR="00F5358B" w:rsidRPr="00E64473" w:rsidRDefault="00F5358B" w:rsidP="00702E7F">
            <w:pPr>
              <w:pStyle w:val="Level1"/>
              <w:tabs>
                <w:tab w:val="left" w:pos="720"/>
              </w:tabs>
              <w:ind w:left="0"/>
              <w:rPr>
                <w:b/>
                <w:bCs/>
                <w:sz w:val="22"/>
                <w:szCs w:val="22"/>
              </w:rPr>
            </w:pPr>
            <w:r w:rsidRPr="00E64473">
              <w:rPr>
                <w:sz w:val="22"/>
                <w:szCs w:val="22"/>
                <w:shd w:val="clear" w:color="auto" w:fill="FFFFFF"/>
              </w:rPr>
              <w:t>Charlotte, NC</w:t>
            </w:r>
          </w:p>
        </w:tc>
        <w:tc>
          <w:tcPr>
            <w:tcW w:w="1800" w:type="dxa"/>
          </w:tcPr>
          <w:p w14:paraId="136003FD" w14:textId="77777777" w:rsidR="00F5358B" w:rsidRPr="00E64473" w:rsidRDefault="00F5358B" w:rsidP="00702E7F">
            <w:pPr>
              <w:pStyle w:val="Level1"/>
              <w:tabs>
                <w:tab w:val="left" w:pos="720"/>
              </w:tabs>
              <w:ind w:left="0"/>
              <w:rPr>
                <w:b/>
                <w:bCs/>
                <w:sz w:val="22"/>
                <w:szCs w:val="22"/>
              </w:rPr>
            </w:pPr>
            <w:r w:rsidRPr="00E64473">
              <w:rPr>
                <w:sz w:val="22"/>
                <w:szCs w:val="22"/>
                <w:shd w:val="clear" w:color="auto" w:fill="FFFFFF"/>
              </w:rPr>
              <w:t>Indianapolis, IN</w:t>
            </w:r>
          </w:p>
        </w:tc>
        <w:tc>
          <w:tcPr>
            <w:tcW w:w="2250" w:type="dxa"/>
          </w:tcPr>
          <w:p w14:paraId="6585CFE2" w14:textId="77777777" w:rsidR="00F5358B" w:rsidRPr="00E64473" w:rsidRDefault="00F5358B" w:rsidP="00702E7F">
            <w:pPr>
              <w:pStyle w:val="Level1"/>
              <w:tabs>
                <w:tab w:val="left" w:pos="720"/>
              </w:tabs>
              <w:ind w:left="0"/>
              <w:rPr>
                <w:b/>
                <w:sz w:val="22"/>
                <w:szCs w:val="22"/>
                <w:shd w:val="clear" w:color="auto" w:fill="FFFFFF"/>
              </w:rPr>
            </w:pPr>
            <w:r w:rsidRPr="00E64473">
              <w:rPr>
                <w:sz w:val="22"/>
                <w:szCs w:val="22"/>
                <w:shd w:val="clear" w:color="auto" w:fill="FFFFFF"/>
              </w:rPr>
              <w:t>Newark, NJ</w:t>
            </w:r>
          </w:p>
        </w:tc>
        <w:tc>
          <w:tcPr>
            <w:tcW w:w="2340" w:type="dxa"/>
          </w:tcPr>
          <w:p w14:paraId="5984FC2C" w14:textId="77777777" w:rsidR="00F5358B" w:rsidRPr="00E64473" w:rsidRDefault="00F5358B" w:rsidP="00702E7F">
            <w:pPr>
              <w:pStyle w:val="Level1"/>
              <w:tabs>
                <w:tab w:val="left" w:pos="720"/>
              </w:tabs>
              <w:ind w:left="0"/>
              <w:rPr>
                <w:b/>
                <w:sz w:val="22"/>
                <w:szCs w:val="22"/>
                <w:shd w:val="clear" w:color="auto" w:fill="FFFFFF"/>
              </w:rPr>
            </w:pPr>
            <w:r w:rsidRPr="00E64473">
              <w:rPr>
                <w:sz w:val="22"/>
                <w:szCs w:val="22"/>
                <w:shd w:val="clear" w:color="auto" w:fill="FFFFFF"/>
              </w:rPr>
              <w:t>San Juan, Puerto Rico</w:t>
            </w:r>
          </w:p>
        </w:tc>
      </w:tr>
      <w:tr w:rsidR="00F5358B" w14:paraId="188B6D4F" w14:textId="77777777" w:rsidTr="00702E7F">
        <w:tc>
          <w:tcPr>
            <w:tcW w:w="2358" w:type="dxa"/>
          </w:tcPr>
          <w:p w14:paraId="52B713F3" w14:textId="77777777" w:rsidR="00F5358B" w:rsidRPr="00E64473" w:rsidRDefault="00F5358B" w:rsidP="00702E7F">
            <w:pPr>
              <w:pStyle w:val="Level1"/>
              <w:tabs>
                <w:tab w:val="left" w:pos="720"/>
              </w:tabs>
              <w:ind w:left="0"/>
              <w:rPr>
                <w:b/>
                <w:bCs/>
                <w:sz w:val="22"/>
                <w:szCs w:val="22"/>
              </w:rPr>
            </w:pPr>
            <w:r w:rsidRPr="00E64473">
              <w:rPr>
                <w:sz w:val="22"/>
                <w:szCs w:val="22"/>
                <w:shd w:val="clear" w:color="auto" w:fill="FFFFFF"/>
              </w:rPr>
              <w:t>Chicago, IL</w:t>
            </w:r>
          </w:p>
        </w:tc>
        <w:tc>
          <w:tcPr>
            <w:tcW w:w="1800" w:type="dxa"/>
          </w:tcPr>
          <w:p w14:paraId="548528F1" w14:textId="77777777" w:rsidR="00F5358B" w:rsidRPr="00E64473" w:rsidRDefault="00F5358B" w:rsidP="00702E7F">
            <w:pPr>
              <w:pStyle w:val="Level1"/>
              <w:tabs>
                <w:tab w:val="left" w:pos="720"/>
              </w:tabs>
              <w:ind w:left="0"/>
              <w:rPr>
                <w:b/>
                <w:bCs/>
                <w:sz w:val="22"/>
                <w:szCs w:val="22"/>
              </w:rPr>
            </w:pPr>
            <w:r w:rsidRPr="00E64473">
              <w:rPr>
                <w:sz w:val="22"/>
                <w:szCs w:val="22"/>
                <w:shd w:val="clear" w:color="auto" w:fill="FFFFFF"/>
              </w:rPr>
              <w:t>Jackson, MS</w:t>
            </w:r>
          </w:p>
        </w:tc>
        <w:tc>
          <w:tcPr>
            <w:tcW w:w="2250" w:type="dxa"/>
          </w:tcPr>
          <w:p w14:paraId="13809353" w14:textId="77777777" w:rsidR="00F5358B" w:rsidRPr="00E64473" w:rsidRDefault="00F5358B" w:rsidP="00702E7F">
            <w:pPr>
              <w:pStyle w:val="Level1"/>
              <w:tabs>
                <w:tab w:val="left" w:pos="720"/>
              </w:tabs>
              <w:ind w:left="0"/>
              <w:rPr>
                <w:b/>
                <w:sz w:val="22"/>
                <w:szCs w:val="22"/>
                <w:shd w:val="clear" w:color="auto" w:fill="FFFFFF"/>
              </w:rPr>
            </w:pPr>
            <w:r w:rsidRPr="00E64473">
              <w:rPr>
                <w:sz w:val="22"/>
                <w:szCs w:val="22"/>
                <w:shd w:val="clear" w:color="auto" w:fill="FFFFFF"/>
              </w:rPr>
              <w:t>Norfolk, VA</w:t>
            </w:r>
          </w:p>
        </w:tc>
        <w:tc>
          <w:tcPr>
            <w:tcW w:w="2340" w:type="dxa"/>
          </w:tcPr>
          <w:p w14:paraId="46A08E99" w14:textId="77777777" w:rsidR="00F5358B" w:rsidRPr="00E64473" w:rsidRDefault="00F5358B" w:rsidP="00702E7F">
            <w:pPr>
              <w:pStyle w:val="Level1"/>
              <w:tabs>
                <w:tab w:val="left" w:pos="720"/>
              </w:tabs>
              <w:ind w:left="0"/>
              <w:rPr>
                <w:b/>
                <w:sz w:val="22"/>
                <w:szCs w:val="22"/>
                <w:shd w:val="clear" w:color="auto" w:fill="FFFFFF"/>
              </w:rPr>
            </w:pPr>
            <w:r w:rsidRPr="00E64473">
              <w:rPr>
                <w:sz w:val="22"/>
                <w:szCs w:val="22"/>
                <w:shd w:val="clear" w:color="auto" w:fill="FFFFFF"/>
              </w:rPr>
              <w:t>Savannah, GA</w:t>
            </w:r>
          </w:p>
        </w:tc>
      </w:tr>
      <w:tr w:rsidR="00F5358B" w14:paraId="4F142A3B" w14:textId="77777777" w:rsidTr="00702E7F">
        <w:tc>
          <w:tcPr>
            <w:tcW w:w="2358" w:type="dxa"/>
          </w:tcPr>
          <w:p w14:paraId="37ED2E7D" w14:textId="77777777" w:rsidR="00F5358B" w:rsidRPr="00E64473" w:rsidRDefault="00F5358B" w:rsidP="00702E7F">
            <w:pPr>
              <w:pStyle w:val="Level1"/>
              <w:tabs>
                <w:tab w:val="left" w:pos="720"/>
              </w:tabs>
              <w:ind w:left="0"/>
              <w:rPr>
                <w:b/>
                <w:bCs/>
                <w:sz w:val="22"/>
                <w:szCs w:val="22"/>
              </w:rPr>
            </w:pPr>
            <w:r w:rsidRPr="00E64473">
              <w:rPr>
                <w:sz w:val="22"/>
                <w:szCs w:val="22"/>
                <w:shd w:val="clear" w:color="auto" w:fill="FFFFFF"/>
              </w:rPr>
              <w:t>Cincinnati, OH</w:t>
            </w:r>
          </w:p>
        </w:tc>
        <w:tc>
          <w:tcPr>
            <w:tcW w:w="1800" w:type="dxa"/>
          </w:tcPr>
          <w:p w14:paraId="211D537E" w14:textId="77777777" w:rsidR="00F5358B" w:rsidRPr="00E64473" w:rsidRDefault="00F5358B" w:rsidP="00702E7F">
            <w:pPr>
              <w:pStyle w:val="Level1"/>
              <w:tabs>
                <w:tab w:val="left" w:pos="720"/>
              </w:tabs>
              <w:ind w:left="0"/>
              <w:rPr>
                <w:b/>
                <w:bCs/>
                <w:sz w:val="22"/>
                <w:szCs w:val="22"/>
              </w:rPr>
            </w:pPr>
            <w:r w:rsidRPr="00E64473">
              <w:rPr>
                <w:sz w:val="22"/>
                <w:szCs w:val="22"/>
                <w:shd w:val="clear" w:color="auto" w:fill="FFFFFF"/>
              </w:rPr>
              <w:t>Kansas City</w:t>
            </w:r>
          </w:p>
        </w:tc>
        <w:tc>
          <w:tcPr>
            <w:tcW w:w="2250" w:type="dxa"/>
          </w:tcPr>
          <w:p w14:paraId="7D18D9B1" w14:textId="77777777" w:rsidR="00F5358B" w:rsidRPr="00E64473" w:rsidRDefault="00F5358B" w:rsidP="00702E7F">
            <w:pPr>
              <w:pStyle w:val="Level1"/>
              <w:tabs>
                <w:tab w:val="left" w:pos="720"/>
              </w:tabs>
              <w:ind w:left="0"/>
              <w:rPr>
                <w:b/>
                <w:sz w:val="22"/>
                <w:szCs w:val="22"/>
                <w:shd w:val="clear" w:color="auto" w:fill="FFFFFF"/>
              </w:rPr>
            </w:pPr>
            <w:r w:rsidRPr="00E64473">
              <w:rPr>
                <w:sz w:val="22"/>
                <w:szCs w:val="22"/>
                <w:shd w:val="clear" w:color="auto" w:fill="FFFFFF"/>
              </w:rPr>
              <w:t>Oakland, CA</w:t>
            </w:r>
          </w:p>
        </w:tc>
        <w:tc>
          <w:tcPr>
            <w:tcW w:w="2340" w:type="dxa"/>
          </w:tcPr>
          <w:p w14:paraId="3D646219" w14:textId="77777777" w:rsidR="00F5358B" w:rsidRPr="00E64473" w:rsidRDefault="00F5358B" w:rsidP="00702E7F">
            <w:pPr>
              <w:pStyle w:val="Level1"/>
              <w:tabs>
                <w:tab w:val="left" w:pos="720"/>
              </w:tabs>
              <w:ind w:left="0"/>
              <w:rPr>
                <w:b/>
                <w:sz w:val="22"/>
                <w:szCs w:val="22"/>
                <w:shd w:val="clear" w:color="auto" w:fill="FFFFFF"/>
              </w:rPr>
            </w:pPr>
            <w:r w:rsidRPr="00E64473">
              <w:rPr>
                <w:sz w:val="22"/>
                <w:szCs w:val="22"/>
                <w:shd w:val="clear" w:color="auto" w:fill="FFFFFF"/>
              </w:rPr>
              <w:t>Seattle, WA</w:t>
            </w:r>
          </w:p>
        </w:tc>
      </w:tr>
      <w:tr w:rsidR="00F5358B" w14:paraId="22861858" w14:textId="77777777" w:rsidTr="00702E7F">
        <w:tc>
          <w:tcPr>
            <w:tcW w:w="2358" w:type="dxa"/>
          </w:tcPr>
          <w:p w14:paraId="53A4E868" w14:textId="77777777" w:rsidR="00F5358B" w:rsidRPr="00E64473" w:rsidRDefault="00F5358B" w:rsidP="00702E7F">
            <w:pPr>
              <w:pStyle w:val="Level1"/>
              <w:tabs>
                <w:tab w:val="left" w:pos="720"/>
              </w:tabs>
              <w:ind w:left="0"/>
              <w:rPr>
                <w:b/>
                <w:bCs/>
                <w:sz w:val="22"/>
                <w:szCs w:val="22"/>
              </w:rPr>
            </w:pPr>
            <w:r w:rsidRPr="00E64473">
              <w:rPr>
                <w:sz w:val="22"/>
                <w:szCs w:val="22"/>
                <w:shd w:val="clear" w:color="auto" w:fill="FFFFFF"/>
              </w:rPr>
              <w:t>Cleveland, OH</w:t>
            </w:r>
          </w:p>
        </w:tc>
        <w:tc>
          <w:tcPr>
            <w:tcW w:w="1800" w:type="dxa"/>
          </w:tcPr>
          <w:p w14:paraId="7874C8DA" w14:textId="77777777" w:rsidR="00F5358B" w:rsidRPr="00E64473" w:rsidRDefault="00F5358B" w:rsidP="00702E7F">
            <w:pPr>
              <w:pStyle w:val="Level1"/>
              <w:tabs>
                <w:tab w:val="left" w:pos="720"/>
              </w:tabs>
              <w:ind w:left="0"/>
              <w:rPr>
                <w:b/>
                <w:bCs/>
                <w:sz w:val="22"/>
                <w:szCs w:val="22"/>
              </w:rPr>
            </w:pPr>
            <w:r w:rsidRPr="00E64473">
              <w:rPr>
                <w:sz w:val="22"/>
                <w:szCs w:val="22"/>
                <w:shd w:val="clear" w:color="auto" w:fill="FFFFFF"/>
              </w:rPr>
              <w:t>Milwaukee, WI</w:t>
            </w:r>
          </w:p>
        </w:tc>
        <w:tc>
          <w:tcPr>
            <w:tcW w:w="2250" w:type="dxa"/>
          </w:tcPr>
          <w:p w14:paraId="334A42B1" w14:textId="77777777" w:rsidR="00F5358B" w:rsidRPr="00E64473" w:rsidRDefault="00F5358B" w:rsidP="00702E7F">
            <w:pPr>
              <w:pStyle w:val="Level1"/>
              <w:tabs>
                <w:tab w:val="left" w:pos="720"/>
              </w:tabs>
              <w:ind w:left="0"/>
              <w:rPr>
                <w:b/>
                <w:sz w:val="22"/>
                <w:szCs w:val="22"/>
                <w:shd w:val="clear" w:color="auto" w:fill="FFFFFF"/>
              </w:rPr>
            </w:pPr>
            <w:r w:rsidRPr="00E64473">
              <w:rPr>
                <w:sz w:val="22"/>
                <w:szCs w:val="22"/>
                <w:shd w:val="clear" w:color="auto" w:fill="FFFFFF"/>
              </w:rPr>
              <w:t>Oklahoma City, OK</w:t>
            </w:r>
          </w:p>
        </w:tc>
        <w:tc>
          <w:tcPr>
            <w:tcW w:w="2340" w:type="dxa"/>
          </w:tcPr>
          <w:p w14:paraId="42ED3E91" w14:textId="77777777" w:rsidR="00F5358B" w:rsidRPr="00E64473" w:rsidRDefault="00F5358B" w:rsidP="00702E7F">
            <w:pPr>
              <w:pStyle w:val="Level1"/>
              <w:tabs>
                <w:tab w:val="left" w:pos="720"/>
              </w:tabs>
              <w:ind w:left="0"/>
              <w:rPr>
                <w:b/>
                <w:sz w:val="22"/>
                <w:szCs w:val="22"/>
                <w:shd w:val="clear" w:color="auto" w:fill="FFFFFF"/>
              </w:rPr>
            </w:pPr>
            <w:r w:rsidRPr="00E64473">
              <w:rPr>
                <w:sz w:val="22"/>
                <w:szCs w:val="22"/>
                <w:shd w:val="clear" w:color="auto" w:fill="FFFFFF"/>
              </w:rPr>
              <w:t>St. Louis, MO</w:t>
            </w:r>
          </w:p>
        </w:tc>
      </w:tr>
      <w:tr w:rsidR="00F5358B" w14:paraId="251DDD13" w14:textId="77777777" w:rsidTr="00702E7F">
        <w:tc>
          <w:tcPr>
            <w:tcW w:w="2358" w:type="dxa"/>
          </w:tcPr>
          <w:p w14:paraId="0D60AF61" w14:textId="77777777" w:rsidR="00F5358B" w:rsidRPr="00E64473" w:rsidRDefault="00F5358B" w:rsidP="00702E7F">
            <w:pPr>
              <w:pStyle w:val="Level1"/>
              <w:tabs>
                <w:tab w:val="left" w:pos="720"/>
              </w:tabs>
              <w:ind w:left="0"/>
              <w:rPr>
                <w:b/>
                <w:bCs/>
                <w:sz w:val="22"/>
                <w:szCs w:val="22"/>
              </w:rPr>
            </w:pPr>
            <w:r w:rsidRPr="00E64473">
              <w:rPr>
                <w:sz w:val="22"/>
                <w:szCs w:val="22"/>
                <w:shd w:val="clear" w:color="auto" w:fill="FFFFFF"/>
              </w:rPr>
              <w:t>Dallas, TX</w:t>
            </w:r>
          </w:p>
        </w:tc>
        <w:tc>
          <w:tcPr>
            <w:tcW w:w="1800" w:type="dxa"/>
          </w:tcPr>
          <w:p w14:paraId="5134D3AF" w14:textId="77777777" w:rsidR="00F5358B" w:rsidRPr="00E64473" w:rsidRDefault="00F5358B" w:rsidP="00702E7F">
            <w:pPr>
              <w:pStyle w:val="Level1"/>
              <w:tabs>
                <w:tab w:val="left" w:pos="720"/>
              </w:tabs>
              <w:ind w:left="0"/>
              <w:rPr>
                <w:b/>
                <w:bCs/>
                <w:sz w:val="22"/>
                <w:szCs w:val="22"/>
              </w:rPr>
            </w:pPr>
            <w:r w:rsidRPr="00E64473">
              <w:rPr>
                <w:sz w:val="22"/>
                <w:szCs w:val="22"/>
                <w:shd w:val="clear" w:color="auto" w:fill="FFFFFF"/>
              </w:rPr>
              <w:t>Minneapolis, MN</w:t>
            </w:r>
          </w:p>
        </w:tc>
        <w:tc>
          <w:tcPr>
            <w:tcW w:w="2250" w:type="dxa"/>
          </w:tcPr>
          <w:p w14:paraId="72A9CA4C" w14:textId="77777777" w:rsidR="00F5358B" w:rsidRPr="00E64473" w:rsidRDefault="00F5358B" w:rsidP="00702E7F">
            <w:pPr>
              <w:pStyle w:val="Level1"/>
              <w:tabs>
                <w:tab w:val="left" w:pos="720"/>
              </w:tabs>
              <w:ind w:left="0"/>
              <w:rPr>
                <w:b/>
                <w:sz w:val="22"/>
                <w:szCs w:val="22"/>
                <w:shd w:val="clear" w:color="auto" w:fill="FFFFFF"/>
              </w:rPr>
            </w:pPr>
            <w:r w:rsidRPr="00E64473">
              <w:rPr>
                <w:sz w:val="22"/>
                <w:szCs w:val="22"/>
                <w:shd w:val="clear" w:color="auto" w:fill="FFFFFF"/>
              </w:rPr>
              <w:t>Philadelphia, PA</w:t>
            </w:r>
          </w:p>
        </w:tc>
        <w:tc>
          <w:tcPr>
            <w:tcW w:w="2340" w:type="dxa"/>
          </w:tcPr>
          <w:p w14:paraId="76C2AAC2" w14:textId="77777777" w:rsidR="00F5358B" w:rsidRPr="00E64473" w:rsidRDefault="00F5358B" w:rsidP="00702E7F">
            <w:pPr>
              <w:pStyle w:val="Level1"/>
              <w:tabs>
                <w:tab w:val="left" w:pos="720"/>
              </w:tabs>
              <w:ind w:left="0"/>
              <w:rPr>
                <w:b/>
                <w:sz w:val="22"/>
                <w:szCs w:val="22"/>
                <w:shd w:val="clear" w:color="auto" w:fill="FFFFFF"/>
              </w:rPr>
            </w:pPr>
            <w:r w:rsidRPr="00E64473">
              <w:rPr>
                <w:sz w:val="22"/>
                <w:szCs w:val="22"/>
                <w:shd w:val="clear" w:color="auto" w:fill="FFFFFF"/>
              </w:rPr>
              <w:t>Tampa. FL</w:t>
            </w:r>
          </w:p>
        </w:tc>
      </w:tr>
      <w:tr w:rsidR="00F5358B" w14:paraId="11CBBEFC" w14:textId="77777777" w:rsidTr="00702E7F">
        <w:trPr>
          <w:trHeight w:val="323"/>
        </w:trPr>
        <w:tc>
          <w:tcPr>
            <w:tcW w:w="2358" w:type="dxa"/>
          </w:tcPr>
          <w:p w14:paraId="05B6DA7A" w14:textId="77777777" w:rsidR="00F5358B" w:rsidRPr="00E64473" w:rsidRDefault="00F5358B" w:rsidP="00702E7F">
            <w:pPr>
              <w:pStyle w:val="Level1"/>
              <w:tabs>
                <w:tab w:val="left" w:pos="720"/>
              </w:tabs>
              <w:ind w:left="0"/>
              <w:rPr>
                <w:b/>
                <w:bCs/>
                <w:sz w:val="22"/>
                <w:szCs w:val="22"/>
              </w:rPr>
            </w:pPr>
            <w:r w:rsidRPr="00E64473">
              <w:rPr>
                <w:sz w:val="22"/>
                <w:szCs w:val="22"/>
                <w:shd w:val="clear" w:color="auto" w:fill="FFFFFF"/>
              </w:rPr>
              <w:t>Denver, CO</w:t>
            </w:r>
          </w:p>
        </w:tc>
        <w:tc>
          <w:tcPr>
            <w:tcW w:w="1800" w:type="dxa"/>
          </w:tcPr>
          <w:p w14:paraId="52E8331D" w14:textId="77777777" w:rsidR="00F5358B" w:rsidRPr="00E64473" w:rsidRDefault="00F5358B" w:rsidP="00702E7F">
            <w:pPr>
              <w:pStyle w:val="Level1"/>
              <w:tabs>
                <w:tab w:val="left" w:pos="720"/>
              </w:tabs>
              <w:ind w:left="0"/>
              <w:rPr>
                <w:b/>
                <w:bCs/>
                <w:sz w:val="22"/>
                <w:szCs w:val="22"/>
              </w:rPr>
            </w:pPr>
            <w:r w:rsidRPr="00E64473">
              <w:rPr>
                <w:sz w:val="22"/>
                <w:szCs w:val="22"/>
                <w:shd w:val="clear" w:color="auto" w:fill="FFFFFF"/>
              </w:rPr>
              <w:t>Little Rock, AR</w:t>
            </w:r>
          </w:p>
        </w:tc>
        <w:tc>
          <w:tcPr>
            <w:tcW w:w="2250" w:type="dxa"/>
          </w:tcPr>
          <w:p w14:paraId="30FDD39A" w14:textId="77777777" w:rsidR="00F5358B" w:rsidRPr="00E64473" w:rsidRDefault="00F5358B" w:rsidP="00702E7F">
            <w:pPr>
              <w:pStyle w:val="Level1"/>
              <w:tabs>
                <w:tab w:val="left" w:pos="720"/>
              </w:tabs>
              <w:ind w:left="0"/>
              <w:rPr>
                <w:b/>
                <w:bCs/>
                <w:sz w:val="22"/>
                <w:szCs w:val="22"/>
              </w:rPr>
            </w:pPr>
            <w:r w:rsidRPr="00E64473">
              <w:rPr>
                <w:sz w:val="22"/>
                <w:szCs w:val="22"/>
                <w:shd w:val="clear" w:color="auto" w:fill="FFFFFF"/>
              </w:rPr>
              <w:t>Phoenix, AZ</w:t>
            </w:r>
          </w:p>
        </w:tc>
        <w:tc>
          <w:tcPr>
            <w:tcW w:w="2340" w:type="dxa"/>
          </w:tcPr>
          <w:p w14:paraId="14AB7C49" w14:textId="77777777" w:rsidR="00F5358B" w:rsidRPr="00E64473" w:rsidRDefault="00F5358B" w:rsidP="00702E7F">
            <w:pPr>
              <w:autoSpaceDE/>
              <w:autoSpaceDN/>
              <w:adjustRightInd/>
              <w:rPr>
                <w:b/>
                <w:sz w:val="22"/>
                <w:szCs w:val="22"/>
                <w:shd w:val="clear" w:color="auto" w:fill="FFFFFF"/>
              </w:rPr>
            </w:pPr>
            <w:r w:rsidRPr="00E64473">
              <w:rPr>
                <w:sz w:val="22"/>
                <w:szCs w:val="22"/>
              </w:rPr>
              <w:t xml:space="preserve">Washington, DC </w:t>
            </w:r>
          </w:p>
        </w:tc>
      </w:tr>
      <w:tr w:rsidR="00F5358B" w14:paraId="5A636D5E" w14:textId="77777777" w:rsidTr="00702E7F">
        <w:tc>
          <w:tcPr>
            <w:tcW w:w="2358" w:type="dxa"/>
          </w:tcPr>
          <w:p w14:paraId="506A8171" w14:textId="77777777" w:rsidR="00F5358B" w:rsidRPr="00E64473" w:rsidRDefault="00F5358B" w:rsidP="00702E7F">
            <w:pPr>
              <w:pStyle w:val="Level1"/>
              <w:tabs>
                <w:tab w:val="left" w:pos="720"/>
              </w:tabs>
              <w:ind w:left="0"/>
              <w:rPr>
                <w:b/>
                <w:sz w:val="22"/>
                <w:szCs w:val="22"/>
                <w:shd w:val="clear" w:color="auto" w:fill="FFFFFF"/>
              </w:rPr>
            </w:pPr>
            <w:r w:rsidRPr="00E64473">
              <w:rPr>
                <w:sz w:val="22"/>
                <w:szCs w:val="22"/>
                <w:shd w:val="clear" w:color="auto" w:fill="FFFFFF"/>
              </w:rPr>
              <w:t>Detroit, MI</w:t>
            </w:r>
          </w:p>
        </w:tc>
        <w:tc>
          <w:tcPr>
            <w:tcW w:w="1800" w:type="dxa"/>
          </w:tcPr>
          <w:p w14:paraId="20F4B939" w14:textId="77777777" w:rsidR="00F5358B" w:rsidRPr="00E64473" w:rsidRDefault="00F5358B" w:rsidP="00702E7F">
            <w:pPr>
              <w:pStyle w:val="Level1"/>
              <w:tabs>
                <w:tab w:val="left" w:pos="720"/>
              </w:tabs>
              <w:ind w:left="0"/>
              <w:rPr>
                <w:b/>
                <w:bCs/>
                <w:sz w:val="22"/>
                <w:szCs w:val="22"/>
              </w:rPr>
            </w:pPr>
            <w:r w:rsidRPr="00E64473">
              <w:rPr>
                <w:sz w:val="22"/>
                <w:szCs w:val="22"/>
                <w:shd w:val="clear" w:color="auto" w:fill="FFFFFF"/>
              </w:rPr>
              <w:t>Los Angeles, CA</w:t>
            </w:r>
          </w:p>
        </w:tc>
        <w:tc>
          <w:tcPr>
            <w:tcW w:w="2250" w:type="dxa"/>
          </w:tcPr>
          <w:p w14:paraId="67728C22" w14:textId="77777777" w:rsidR="00F5358B" w:rsidRPr="00E64473" w:rsidRDefault="00F5358B" w:rsidP="00702E7F">
            <w:pPr>
              <w:pStyle w:val="Level1"/>
              <w:tabs>
                <w:tab w:val="left" w:pos="720"/>
              </w:tabs>
              <w:ind w:left="0"/>
              <w:rPr>
                <w:b/>
                <w:bCs/>
                <w:sz w:val="22"/>
                <w:szCs w:val="22"/>
              </w:rPr>
            </w:pPr>
            <w:r w:rsidRPr="00E64473">
              <w:rPr>
                <w:sz w:val="22"/>
                <w:szCs w:val="22"/>
                <w:shd w:val="clear" w:color="auto" w:fill="FFFFFF"/>
              </w:rPr>
              <w:t>Pittsburgh, PA</w:t>
            </w:r>
          </w:p>
        </w:tc>
        <w:tc>
          <w:tcPr>
            <w:tcW w:w="2340" w:type="dxa"/>
          </w:tcPr>
          <w:p w14:paraId="3076D8AF" w14:textId="77777777" w:rsidR="00F5358B" w:rsidRPr="00E64473" w:rsidRDefault="00F5358B" w:rsidP="00702E7F">
            <w:pPr>
              <w:pStyle w:val="Level1"/>
              <w:tabs>
                <w:tab w:val="left" w:pos="720"/>
              </w:tabs>
              <w:ind w:left="0"/>
              <w:rPr>
                <w:b/>
                <w:sz w:val="22"/>
                <w:szCs w:val="22"/>
                <w:shd w:val="clear" w:color="auto" w:fill="FFFFFF"/>
              </w:rPr>
            </w:pPr>
          </w:p>
        </w:tc>
      </w:tr>
    </w:tbl>
    <w:p w14:paraId="3367870A" w14:textId="77777777" w:rsidR="00F5358B" w:rsidRPr="00E64473" w:rsidRDefault="00F5358B" w:rsidP="00F5358B">
      <w:pPr>
        <w:numPr>
          <w:ilvl w:val="12"/>
          <w:numId w:val="0"/>
        </w:numPr>
        <w:sectPr w:rsidR="00F5358B" w:rsidRPr="00E64473">
          <w:type w:val="continuous"/>
          <w:pgSz w:w="12240" w:h="15840"/>
          <w:pgMar w:top="1440" w:right="1440" w:bottom="1440" w:left="1440" w:header="1440" w:footer="1440" w:gutter="0"/>
          <w:cols w:space="720"/>
        </w:sectPr>
      </w:pPr>
    </w:p>
    <w:p w14:paraId="25B466F2" w14:textId="77777777" w:rsidR="00F5358B" w:rsidRDefault="00F5358B" w:rsidP="00F5358B">
      <w:pPr>
        <w:spacing w:line="2" w:lineRule="exact"/>
      </w:pPr>
    </w:p>
    <w:p w14:paraId="14DE235D" w14:textId="77777777" w:rsidR="00F5358B" w:rsidRDefault="00F5358B" w:rsidP="00F5358B">
      <w:pPr>
        <w:pStyle w:val="Level1"/>
        <w:numPr>
          <w:ilvl w:val="0"/>
          <w:numId w:val="4"/>
        </w:numPr>
        <w:tabs>
          <w:tab w:val="left" w:pos="720"/>
        </w:tabs>
        <w:ind w:left="720" w:hanging="720"/>
        <w:jc w:val="both"/>
        <w:rPr>
          <w:b w:val="0"/>
          <w:bCs w:val="0"/>
        </w:rPr>
      </w:pPr>
      <w:r>
        <w:rPr>
          <w:u w:val="single"/>
        </w:rPr>
        <w:br w:type="page"/>
      </w:r>
      <w:r>
        <w:rPr>
          <w:u w:val="single"/>
        </w:rPr>
        <w:lastRenderedPageBreak/>
        <w:t>COMPENSATION AND CLAIM FOR PAYMENT</w:t>
      </w:r>
    </w:p>
    <w:p w14:paraId="28FF6B45" w14:textId="77777777" w:rsidR="00F5358B" w:rsidRDefault="00F5358B" w:rsidP="00F5358B">
      <w:pPr>
        <w:numPr>
          <w:ilvl w:val="12"/>
          <w:numId w:val="0"/>
        </w:numPr>
        <w:jc w:val="both"/>
        <w:rPr>
          <w:b w:val="0"/>
          <w:bCs w:val="0"/>
        </w:rPr>
      </w:pPr>
    </w:p>
    <w:p w14:paraId="69C310A7" w14:textId="77777777" w:rsidR="00F5358B" w:rsidRDefault="00F5358B" w:rsidP="00F5358B">
      <w:pPr>
        <w:numPr>
          <w:ilvl w:val="12"/>
          <w:numId w:val="0"/>
        </w:numPr>
        <w:jc w:val="both"/>
        <w:rPr>
          <w:b w:val="0"/>
          <w:bCs w:val="0"/>
        </w:rPr>
      </w:pPr>
      <w:r>
        <w:t xml:space="preserve">The contractor shall submit a claim for payment within 30 calendar days after issuing a decision and transmitting the hearing record to EEOC’s Office of Equal Opportunity, or after issuing the document that records a resolution of the complaint.  </w:t>
      </w:r>
    </w:p>
    <w:p w14:paraId="7B62C7A8" w14:textId="77777777" w:rsidR="00F5358B" w:rsidRDefault="00F5358B" w:rsidP="00F5358B">
      <w:pPr>
        <w:numPr>
          <w:ilvl w:val="12"/>
          <w:numId w:val="0"/>
        </w:numPr>
        <w:jc w:val="both"/>
        <w:rPr>
          <w:b w:val="0"/>
          <w:bCs w:val="0"/>
        </w:rPr>
      </w:pPr>
    </w:p>
    <w:p w14:paraId="179274F1" w14:textId="77777777" w:rsidR="00F5358B" w:rsidRDefault="00F5358B" w:rsidP="00F5358B">
      <w:pPr>
        <w:numPr>
          <w:ilvl w:val="12"/>
          <w:numId w:val="0"/>
        </w:numPr>
        <w:jc w:val="both"/>
        <w:rPr>
          <w:b w:val="0"/>
          <w:bCs w:val="0"/>
        </w:rPr>
      </w:pPr>
      <w:r>
        <w:t>The contractor’s claim for payment shall be submitted to the COR.  The claim shall include a statement of all expenses and travel costs incurred.  The claim must be accompanied by a copy of the decision that the contractor transmitted to the parties concluding the hearing process.  If no decision has been issued on the complaint, the claim must be accompanied by the settlement agreement or other document which ended the conduct of the hearing.</w:t>
      </w:r>
    </w:p>
    <w:p w14:paraId="689CED3B" w14:textId="77777777" w:rsidR="00F5358B" w:rsidRDefault="00F5358B" w:rsidP="00F5358B">
      <w:pPr>
        <w:numPr>
          <w:ilvl w:val="12"/>
          <w:numId w:val="0"/>
        </w:numPr>
        <w:jc w:val="both"/>
        <w:rPr>
          <w:b w:val="0"/>
          <w:bCs w:val="0"/>
        </w:rPr>
      </w:pPr>
    </w:p>
    <w:p w14:paraId="6745ECAA" w14:textId="77777777" w:rsidR="00F5358B" w:rsidRDefault="00F5358B" w:rsidP="00F5358B">
      <w:pPr>
        <w:numPr>
          <w:ilvl w:val="12"/>
          <w:numId w:val="0"/>
        </w:numPr>
        <w:jc w:val="both"/>
        <w:rPr>
          <w:b w:val="0"/>
          <w:bCs w:val="0"/>
        </w:rPr>
      </w:pPr>
      <w:r>
        <w:t xml:space="preserve">The contractor shall not exceed the grand total indicated on the face page of the purchase order.  The Government is not obligated to reimburse the contractor for costs incurred </w:t>
      </w:r>
      <w:proofErr w:type="gramStart"/>
      <w:r>
        <w:t>in excess of</w:t>
      </w:r>
      <w:proofErr w:type="gramEnd"/>
      <w:r>
        <w:t xml:space="preserve"> the Not-To-Exceed grand total specified in the purchase order.  If the contractor foresees a cost overrun due to circumstances beyond the contractor's control, the contractor shall stop work immediately and notify the Acquisition Services Divisions Contracting Officer (at the telephone number shown on the purchase order).  Unless the Contracting Officer authorizes costs beyond the amount indicated on the face page of the BPA Call in writing, the contractor will not be entitled to payment.</w:t>
      </w:r>
    </w:p>
    <w:p w14:paraId="009515BF" w14:textId="77777777" w:rsidR="00F5358B" w:rsidRDefault="00F5358B" w:rsidP="00F5358B">
      <w:pPr>
        <w:numPr>
          <w:ilvl w:val="12"/>
          <w:numId w:val="0"/>
        </w:numPr>
        <w:jc w:val="both"/>
        <w:rPr>
          <w:b w:val="0"/>
          <w:bCs w:val="0"/>
        </w:rPr>
      </w:pPr>
    </w:p>
    <w:p w14:paraId="726FE7A5" w14:textId="77777777" w:rsidR="00F5358B" w:rsidRDefault="00F5358B" w:rsidP="00F5358B">
      <w:pPr>
        <w:numPr>
          <w:ilvl w:val="12"/>
          <w:numId w:val="0"/>
        </w:numPr>
        <w:jc w:val="both"/>
        <w:rPr>
          <w:b w:val="0"/>
          <w:bCs w:val="0"/>
        </w:rPr>
      </w:pPr>
      <w:r>
        <w:t xml:space="preserve">If the complaint is settled, or otherwise does not result in a decision through no fault of the contractor, the contractor shall be compensated for work </w:t>
      </w:r>
      <w:proofErr w:type="gramStart"/>
      <w:r>
        <w:t>actually performed</w:t>
      </w:r>
      <w:proofErr w:type="gramEnd"/>
      <w:r>
        <w:t>.</w:t>
      </w:r>
      <w:r>
        <w:tab/>
      </w:r>
      <w:r>
        <w:tab/>
        <w:t xml:space="preserve">  </w:t>
      </w:r>
    </w:p>
    <w:p w14:paraId="4A16AC0A" w14:textId="77777777" w:rsidR="00F5358B" w:rsidRDefault="00F5358B" w:rsidP="00F5358B">
      <w:pPr>
        <w:rPr>
          <w:b w:val="0"/>
          <w:bCs w:val="0"/>
        </w:rPr>
      </w:pPr>
    </w:p>
    <w:p w14:paraId="62D2CDD4" w14:textId="77777777" w:rsidR="00F5358B" w:rsidRDefault="00F5358B" w:rsidP="00F5358B">
      <w:pPr>
        <w:rPr>
          <w:b w:val="0"/>
          <w:bCs w:val="0"/>
        </w:rPr>
      </w:pPr>
    </w:p>
    <w:p w14:paraId="4C2F21D2" w14:textId="77777777" w:rsidR="00F5358B" w:rsidRDefault="00F5358B" w:rsidP="00F5358B">
      <w:pPr>
        <w:numPr>
          <w:ilvl w:val="12"/>
          <w:numId w:val="0"/>
        </w:numPr>
        <w:jc w:val="both"/>
        <w:sectPr w:rsidR="00F5358B">
          <w:type w:val="continuous"/>
          <w:pgSz w:w="12240" w:h="15840"/>
          <w:pgMar w:top="1440" w:right="1440" w:bottom="1440" w:left="1440" w:header="1440" w:footer="1440" w:gutter="0"/>
          <w:cols w:space="720"/>
        </w:sectPr>
      </w:pPr>
    </w:p>
    <w:p w14:paraId="47314D08" w14:textId="77777777" w:rsidR="00F5358B" w:rsidRDefault="00F5358B" w:rsidP="00F5358B">
      <w:pPr>
        <w:spacing w:line="2" w:lineRule="exact"/>
      </w:pPr>
    </w:p>
    <w:p w14:paraId="4964FA48" w14:textId="77777777" w:rsidR="00F5358B" w:rsidRDefault="00F5358B" w:rsidP="00F5358B">
      <w:pPr>
        <w:pStyle w:val="Level1"/>
        <w:numPr>
          <w:ilvl w:val="0"/>
          <w:numId w:val="5"/>
        </w:numPr>
        <w:tabs>
          <w:tab w:val="left" w:pos="720"/>
        </w:tabs>
        <w:ind w:hanging="720"/>
        <w:jc w:val="both"/>
        <w:rPr>
          <w:b w:val="0"/>
          <w:bCs w:val="0"/>
        </w:rPr>
      </w:pPr>
      <w:r>
        <w:rPr>
          <w:u w:val="single"/>
        </w:rPr>
        <w:t>EEOC-FURNISHED PROPERTY FOR THE PERFORMANCE OF THE WORK</w:t>
      </w:r>
    </w:p>
    <w:p w14:paraId="41E275D8" w14:textId="77777777" w:rsidR="00F5358B" w:rsidRDefault="00F5358B" w:rsidP="00F5358B">
      <w:pPr>
        <w:numPr>
          <w:ilvl w:val="12"/>
          <w:numId w:val="0"/>
        </w:numPr>
        <w:jc w:val="both"/>
        <w:rPr>
          <w:b w:val="0"/>
          <w:bCs w:val="0"/>
        </w:rPr>
      </w:pPr>
    </w:p>
    <w:p w14:paraId="27CFC992" w14:textId="77777777" w:rsidR="00F5358B" w:rsidRDefault="00F5358B" w:rsidP="00F5358B">
      <w:pPr>
        <w:pStyle w:val="Level2"/>
        <w:numPr>
          <w:ilvl w:val="1"/>
          <w:numId w:val="5"/>
        </w:numPr>
        <w:tabs>
          <w:tab w:val="left" w:pos="720"/>
          <w:tab w:val="left" w:pos="1440"/>
        </w:tabs>
        <w:ind w:hanging="720"/>
        <w:jc w:val="both"/>
        <w:rPr>
          <w:b w:val="0"/>
          <w:bCs w:val="0"/>
        </w:rPr>
      </w:pPr>
      <w:r>
        <w:t>The Equal Employment Opportunity Commission agrees to furnish to the contractor the government property described below for use on a no-charge basis, in the performance of the purchase order. This paragraph refers only to property presently in the possession of EEOC or to be acquired by EEOC from sources other than the contractor.</w:t>
      </w:r>
    </w:p>
    <w:p w14:paraId="6974A14E" w14:textId="77777777" w:rsidR="00F5358B" w:rsidRDefault="00F5358B" w:rsidP="00F5358B">
      <w:pPr>
        <w:numPr>
          <w:ilvl w:val="12"/>
          <w:numId w:val="0"/>
        </w:numPr>
        <w:jc w:val="both"/>
        <w:rPr>
          <w:b w:val="0"/>
          <w:bCs w:val="0"/>
        </w:rPr>
      </w:pPr>
    </w:p>
    <w:p w14:paraId="3A5D212D" w14:textId="49536084" w:rsidR="00F5358B" w:rsidRDefault="00F5358B" w:rsidP="00F5358B">
      <w:pPr>
        <w:numPr>
          <w:ilvl w:val="12"/>
          <w:numId w:val="0"/>
        </w:numPr>
        <w:tabs>
          <w:tab w:val="left" w:pos="720"/>
          <w:tab w:val="left" w:pos="1440"/>
        </w:tabs>
        <w:ind w:left="1440" w:hanging="1440"/>
        <w:jc w:val="both"/>
        <w:rPr>
          <w:b w:val="0"/>
          <w:bCs w:val="0"/>
        </w:rPr>
      </w:pPr>
      <w:r>
        <w:tab/>
      </w:r>
      <w:r>
        <w:tab/>
        <w:t>Description of EEOC-Furnished Property: 1) The complaint file, including the complete investigative file, that was developed by EEOC in each of the complaints covered under the purchase order; and 2) all documents received by the contractor in the performance of the purchase order.</w:t>
      </w:r>
    </w:p>
    <w:p w14:paraId="21CE8E25" w14:textId="77777777" w:rsidR="00F5358B" w:rsidRDefault="00F5358B" w:rsidP="00F5358B">
      <w:pPr>
        <w:numPr>
          <w:ilvl w:val="12"/>
          <w:numId w:val="0"/>
        </w:numPr>
        <w:jc w:val="both"/>
        <w:rPr>
          <w:b w:val="0"/>
          <w:bCs w:val="0"/>
        </w:rPr>
      </w:pPr>
    </w:p>
    <w:p w14:paraId="0C2FF045" w14:textId="77777777" w:rsidR="00F5358B" w:rsidRDefault="00F5358B" w:rsidP="00F5358B">
      <w:pPr>
        <w:pStyle w:val="Level2"/>
        <w:numPr>
          <w:ilvl w:val="1"/>
          <w:numId w:val="5"/>
        </w:numPr>
        <w:tabs>
          <w:tab w:val="left" w:pos="720"/>
          <w:tab w:val="left" w:pos="1440"/>
        </w:tabs>
        <w:ind w:hanging="720"/>
        <w:jc w:val="both"/>
        <w:rPr>
          <w:b w:val="0"/>
          <w:bCs w:val="0"/>
        </w:rPr>
      </w:pPr>
      <w:r>
        <w:t>The contractor is not authorized to acquire any property for EEOC.</w:t>
      </w:r>
    </w:p>
    <w:p w14:paraId="26213DD7" w14:textId="77777777" w:rsidR="00F5358B" w:rsidRDefault="00F5358B" w:rsidP="00F5358B">
      <w:pPr>
        <w:numPr>
          <w:ilvl w:val="12"/>
          <w:numId w:val="0"/>
        </w:numPr>
        <w:jc w:val="both"/>
        <w:rPr>
          <w:b w:val="0"/>
          <w:bCs w:val="0"/>
        </w:rPr>
      </w:pPr>
    </w:p>
    <w:p w14:paraId="644E327A" w14:textId="77777777" w:rsidR="00F5358B" w:rsidRDefault="00F5358B" w:rsidP="00F5358B">
      <w:pPr>
        <w:pStyle w:val="Level2"/>
        <w:numPr>
          <w:ilvl w:val="1"/>
          <w:numId w:val="5"/>
        </w:numPr>
        <w:tabs>
          <w:tab w:val="left" w:pos="720"/>
          <w:tab w:val="left" w:pos="1440"/>
        </w:tabs>
        <w:ind w:hanging="720"/>
        <w:jc w:val="both"/>
        <w:rPr>
          <w:b w:val="0"/>
          <w:bCs w:val="0"/>
        </w:rPr>
      </w:pPr>
      <w:r>
        <w:t>The title to all property acquired and/or furnished under the BPA Call shall remain with and vest in the government.</w:t>
      </w:r>
    </w:p>
    <w:p w14:paraId="26F35634" w14:textId="77777777" w:rsidR="00F5358B" w:rsidRDefault="00F5358B" w:rsidP="00F5358B">
      <w:pPr>
        <w:numPr>
          <w:ilvl w:val="12"/>
          <w:numId w:val="0"/>
        </w:numPr>
        <w:jc w:val="both"/>
        <w:rPr>
          <w:b w:val="0"/>
          <w:bCs w:val="0"/>
        </w:rPr>
      </w:pPr>
    </w:p>
    <w:p w14:paraId="603EC13C" w14:textId="77777777" w:rsidR="00F5358B" w:rsidRDefault="00F5358B" w:rsidP="00F5358B">
      <w:pPr>
        <w:pStyle w:val="Level2"/>
        <w:numPr>
          <w:ilvl w:val="1"/>
          <w:numId w:val="5"/>
        </w:numPr>
        <w:tabs>
          <w:tab w:val="left" w:pos="720"/>
          <w:tab w:val="left" w:pos="1440"/>
        </w:tabs>
        <w:ind w:hanging="720"/>
        <w:jc w:val="both"/>
        <w:rPr>
          <w:b w:val="0"/>
          <w:bCs w:val="0"/>
        </w:rPr>
      </w:pPr>
      <w:r>
        <w:t xml:space="preserve">The contractor shall be directly responsible and accountable for all government property provided under the purchase order.  The government, and any persons designated by it, shall at all reasonable times have access to the premises where any of the government property is located, </w:t>
      </w:r>
      <w:proofErr w:type="gramStart"/>
      <w:r>
        <w:t>for the purpose of</w:t>
      </w:r>
      <w:proofErr w:type="gramEnd"/>
      <w:r>
        <w:t xml:space="preserve"> inspecting the property.</w:t>
      </w:r>
    </w:p>
    <w:p w14:paraId="62880B6A" w14:textId="77777777" w:rsidR="00F5358B" w:rsidRDefault="00F5358B" w:rsidP="00F5358B">
      <w:pPr>
        <w:numPr>
          <w:ilvl w:val="12"/>
          <w:numId w:val="0"/>
        </w:numPr>
        <w:jc w:val="both"/>
      </w:pPr>
    </w:p>
    <w:p w14:paraId="182ABB93" w14:textId="77777777" w:rsidR="00F5358B" w:rsidRDefault="00F5358B" w:rsidP="00F5358B">
      <w:pPr>
        <w:numPr>
          <w:ilvl w:val="12"/>
          <w:numId w:val="0"/>
        </w:numPr>
        <w:jc w:val="both"/>
        <w:rPr>
          <w:b w:val="0"/>
          <w:bCs w:val="0"/>
        </w:rPr>
      </w:pPr>
      <w:r>
        <w:tab/>
      </w:r>
      <w:r>
        <w:tab/>
      </w:r>
      <w:r>
        <w:tab/>
      </w:r>
      <w:r>
        <w:tab/>
      </w:r>
      <w:r>
        <w:tab/>
      </w:r>
      <w:r>
        <w:tab/>
      </w:r>
    </w:p>
    <w:p w14:paraId="3A6AB69E" w14:textId="77777777" w:rsidR="00F5358B" w:rsidRDefault="00F5358B" w:rsidP="00F5358B">
      <w:pPr>
        <w:pStyle w:val="Level1"/>
        <w:numPr>
          <w:ilvl w:val="0"/>
          <w:numId w:val="5"/>
        </w:numPr>
        <w:tabs>
          <w:tab w:val="left" w:pos="720"/>
        </w:tabs>
        <w:ind w:hanging="720"/>
        <w:jc w:val="both"/>
        <w:rPr>
          <w:b w:val="0"/>
          <w:bCs w:val="0"/>
          <w:u w:val="single"/>
        </w:rPr>
      </w:pPr>
      <w:r>
        <w:rPr>
          <w:u w:val="single"/>
        </w:rPr>
        <w:t>DESCRIPTION OF AGREEMENT</w:t>
      </w:r>
    </w:p>
    <w:p w14:paraId="2AEC986D" w14:textId="77777777" w:rsidR="00F5358B" w:rsidRDefault="00F5358B" w:rsidP="00F5358B">
      <w:pPr>
        <w:numPr>
          <w:ilvl w:val="12"/>
          <w:numId w:val="0"/>
        </w:numPr>
        <w:jc w:val="both"/>
        <w:rPr>
          <w:b w:val="0"/>
          <w:bCs w:val="0"/>
          <w:u w:val="single"/>
        </w:rPr>
      </w:pPr>
    </w:p>
    <w:p w14:paraId="51A05CF2" w14:textId="77777777" w:rsidR="00F5358B" w:rsidRDefault="00F5358B" w:rsidP="00F5358B">
      <w:pPr>
        <w:numPr>
          <w:ilvl w:val="12"/>
          <w:numId w:val="0"/>
        </w:numPr>
        <w:jc w:val="both"/>
        <w:rPr>
          <w:b w:val="0"/>
          <w:bCs w:val="0"/>
        </w:rPr>
      </w:pPr>
      <w:r>
        <w:t>The contractor shall furnish the above described services as requested by the Contracting Officer or the authorized representative(s) of the Contracting Officer during the period of performance.  The total aggregate amount for service calls shall not exceed $24,999.</w:t>
      </w:r>
    </w:p>
    <w:p w14:paraId="101A9778" w14:textId="77777777" w:rsidR="00F5358B" w:rsidRDefault="00F5358B" w:rsidP="00F5358B">
      <w:pPr>
        <w:numPr>
          <w:ilvl w:val="12"/>
          <w:numId w:val="0"/>
        </w:numPr>
        <w:jc w:val="both"/>
        <w:rPr>
          <w:b w:val="0"/>
          <w:bCs w:val="0"/>
        </w:rPr>
      </w:pPr>
    </w:p>
    <w:p w14:paraId="67318B1E" w14:textId="77777777" w:rsidR="00F5358B" w:rsidRDefault="00F5358B" w:rsidP="00F5358B">
      <w:pPr>
        <w:numPr>
          <w:ilvl w:val="12"/>
          <w:numId w:val="0"/>
        </w:numPr>
        <w:jc w:val="both"/>
        <w:rPr>
          <w:b w:val="0"/>
          <w:bCs w:val="0"/>
        </w:rPr>
      </w:pPr>
    </w:p>
    <w:p w14:paraId="72B2E466" w14:textId="77777777" w:rsidR="00F5358B" w:rsidRDefault="00F5358B" w:rsidP="00F5358B">
      <w:pPr>
        <w:pStyle w:val="Level1"/>
        <w:numPr>
          <w:ilvl w:val="0"/>
          <w:numId w:val="5"/>
        </w:numPr>
        <w:tabs>
          <w:tab w:val="left" w:pos="720"/>
        </w:tabs>
        <w:ind w:hanging="720"/>
        <w:jc w:val="both"/>
        <w:rPr>
          <w:b w:val="0"/>
          <w:bCs w:val="0"/>
          <w:u w:val="single"/>
        </w:rPr>
      </w:pPr>
      <w:r>
        <w:rPr>
          <w:u w:val="single"/>
        </w:rPr>
        <w:t>EXTENT OF OBLIGATION</w:t>
      </w:r>
    </w:p>
    <w:p w14:paraId="53F1097A" w14:textId="77777777" w:rsidR="00F5358B" w:rsidRDefault="00F5358B" w:rsidP="00F5358B">
      <w:pPr>
        <w:numPr>
          <w:ilvl w:val="12"/>
          <w:numId w:val="0"/>
        </w:numPr>
        <w:jc w:val="both"/>
        <w:rPr>
          <w:b w:val="0"/>
          <w:bCs w:val="0"/>
          <w:u w:val="single"/>
        </w:rPr>
      </w:pPr>
    </w:p>
    <w:p w14:paraId="610560DD" w14:textId="77777777" w:rsidR="00F5358B" w:rsidRDefault="00F5358B" w:rsidP="00F5358B">
      <w:pPr>
        <w:numPr>
          <w:ilvl w:val="12"/>
          <w:numId w:val="0"/>
        </w:numPr>
        <w:jc w:val="both"/>
        <w:rPr>
          <w:b w:val="0"/>
          <w:bCs w:val="0"/>
        </w:rPr>
      </w:pPr>
      <w:r>
        <w:t xml:space="preserve">The Equal Employment Opportunity Commission is obligated only to the extent of authorized BPA Calls </w:t>
      </w:r>
      <w:proofErr w:type="gramStart"/>
      <w:r>
        <w:t>actually made</w:t>
      </w:r>
      <w:proofErr w:type="gramEnd"/>
      <w:r>
        <w:t xml:space="preserve"> under this BPA.</w:t>
      </w:r>
    </w:p>
    <w:p w14:paraId="2661EC6E" w14:textId="77777777" w:rsidR="00F5358B" w:rsidRDefault="00F5358B" w:rsidP="00F5358B">
      <w:pPr>
        <w:rPr>
          <w:b w:val="0"/>
          <w:bCs w:val="0"/>
        </w:rPr>
      </w:pPr>
    </w:p>
    <w:p w14:paraId="15B81241" w14:textId="77777777" w:rsidR="00F5358B" w:rsidRDefault="00F5358B" w:rsidP="00F5358B">
      <w:pPr>
        <w:rPr>
          <w:b w:val="0"/>
          <w:bCs w:val="0"/>
        </w:rPr>
      </w:pPr>
    </w:p>
    <w:p w14:paraId="51A0F65E" w14:textId="77777777" w:rsidR="00F5358B" w:rsidRDefault="00F5358B" w:rsidP="00F5358B">
      <w:pPr>
        <w:pStyle w:val="Level1"/>
        <w:numPr>
          <w:ilvl w:val="0"/>
          <w:numId w:val="5"/>
        </w:numPr>
        <w:tabs>
          <w:tab w:val="left" w:pos="720"/>
        </w:tabs>
        <w:ind w:hanging="720"/>
        <w:jc w:val="both"/>
        <w:rPr>
          <w:b w:val="0"/>
          <w:bCs w:val="0"/>
          <w:u w:val="single"/>
        </w:rPr>
      </w:pPr>
      <w:r>
        <w:rPr>
          <w:u w:val="single"/>
        </w:rPr>
        <w:t>PRICING</w:t>
      </w:r>
    </w:p>
    <w:p w14:paraId="27185B2D" w14:textId="77777777" w:rsidR="00F5358B" w:rsidRDefault="00F5358B" w:rsidP="00F5358B">
      <w:pPr>
        <w:numPr>
          <w:ilvl w:val="12"/>
          <w:numId w:val="0"/>
        </w:numPr>
        <w:jc w:val="both"/>
        <w:rPr>
          <w:b w:val="0"/>
          <w:bCs w:val="0"/>
          <w:u w:val="single"/>
        </w:rPr>
      </w:pPr>
    </w:p>
    <w:p w14:paraId="6C6E9DD1" w14:textId="77777777" w:rsidR="00F5358B" w:rsidRDefault="00F5358B" w:rsidP="00F5358B">
      <w:pPr>
        <w:numPr>
          <w:ilvl w:val="12"/>
          <w:numId w:val="0"/>
        </w:numPr>
        <w:jc w:val="both"/>
        <w:rPr>
          <w:b w:val="0"/>
          <w:bCs w:val="0"/>
        </w:rPr>
      </w:pPr>
      <w:r>
        <w:t>Prices to the Government shall be as low as or lower than those charged Contractor’s most favored customers for comparable quantities under similar terms and conditions, in addition to any discount for prompt payment.</w:t>
      </w:r>
    </w:p>
    <w:p w14:paraId="6AA95E46" w14:textId="77777777" w:rsidR="00F5358B" w:rsidRDefault="00F5358B" w:rsidP="00F5358B">
      <w:r>
        <w:tab/>
      </w:r>
      <w:r>
        <w:tab/>
      </w:r>
      <w:r>
        <w:tab/>
      </w:r>
      <w:r>
        <w:tab/>
      </w:r>
    </w:p>
    <w:p w14:paraId="7E928D4D" w14:textId="77777777" w:rsidR="00F5358B" w:rsidRDefault="00F5358B" w:rsidP="00F5358B">
      <w:pPr>
        <w:numPr>
          <w:ilvl w:val="12"/>
          <w:numId w:val="0"/>
        </w:numPr>
        <w:jc w:val="both"/>
        <w:rPr>
          <w:b w:val="0"/>
          <w:bCs w:val="0"/>
        </w:rPr>
      </w:pPr>
    </w:p>
    <w:p w14:paraId="5743B610" w14:textId="77777777" w:rsidR="00F5358B" w:rsidRDefault="00F5358B" w:rsidP="00F5358B">
      <w:pPr>
        <w:pStyle w:val="Level1"/>
        <w:numPr>
          <w:ilvl w:val="0"/>
          <w:numId w:val="5"/>
        </w:numPr>
        <w:tabs>
          <w:tab w:val="left" w:pos="720"/>
        </w:tabs>
        <w:ind w:hanging="720"/>
        <w:jc w:val="both"/>
        <w:rPr>
          <w:b w:val="0"/>
          <w:bCs w:val="0"/>
          <w:u w:val="single"/>
        </w:rPr>
      </w:pPr>
      <w:r>
        <w:rPr>
          <w:u w:val="single"/>
        </w:rPr>
        <w:t>ORDERING</w:t>
      </w:r>
    </w:p>
    <w:p w14:paraId="5BAC5DA6" w14:textId="77777777" w:rsidR="00F5358B" w:rsidRDefault="00F5358B" w:rsidP="00F5358B">
      <w:pPr>
        <w:numPr>
          <w:ilvl w:val="12"/>
          <w:numId w:val="0"/>
        </w:numPr>
        <w:jc w:val="both"/>
        <w:rPr>
          <w:b w:val="0"/>
          <w:bCs w:val="0"/>
          <w:u w:val="single"/>
        </w:rPr>
      </w:pPr>
    </w:p>
    <w:p w14:paraId="7E91A156" w14:textId="77777777" w:rsidR="00F5358B" w:rsidRDefault="00F5358B" w:rsidP="00F5358B">
      <w:pPr>
        <w:numPr>
          <w:ilvl w:val="12"/>
          <w:numId w:val="0"/>
        </w:numPr>
        <w:jc w:val="both"/>
        <w:rPr>
          <w:b w:val="0"/>
          <w:bCs w:val="0"/>
        </w:rPr>
      </w:pPr>
      <w:r>
        <w:tab/>
        <w:t>(a) Any supplies and services to be furnished under this BPA shall be ordered by issuance of delivery orders or BPA Calls by the individuals or activities designated in the Schedule.  Such order may be issued from the effective date of the BPA through one (1) year thereafter.</w:t>
      </w:r>
    </w:p>
    <w:p w14:paraId="33E75FFF" w14:textId="77777777" w:rsidR="00F5358B" w:rsidRDefault="00F5358B" w:rsidP="00F5358B">
      <w:pPr>
        <w:numPr>
          <w:ilvl w:val="12"/>
          <w:numId w:val="0"/>
        </w:numPr>
        <w:jc w:val="both"/>
        <w:rPr>
          <w:b w:val="0"/>
          <w:bCs w:val="0"/>
        </w:rPr>
      </w:pPr>
    </w:p>
    <w:p w14:paraId="4E5A87F0" w14:textId="1EAA81A5" w:rsidR="00F5358B" w:rsidRDefault="00F5358B" w:rsidP="00F5358B">
      <w:pPr>
        <w:numPr>
          <w:ilvl w:val="12"/>
          <w:numId w:val="0"/>
        </w:numPr>
        <w:jc w:val="both"/>
        <w:rPr>
          <w:b w:val="0"/>
          <w:bCs w:val="0"/>
        </w:rPr>
      </w:pPr>
      <w:r>
        <w:tab/>
        <w:t>(b) All task orders or BPA Calls are subject to the terms and conditions of this BPA.  In the event of conflict between a delivery order or BPA Call and this BPA, the BPA shall control.</w:t>
      </w:r>
    </w:p>
    <w:p w14:paraId="021DD4EA" w14:textId="77777777" w:rsidR="00F5358B" w:rsidRDefault="00F5358B" w:rsidP="00F5358B">
      <w:pPr>
        <w:numPr>
          <w:ilvl w:val="12"/>
          <w:numId w:val="0"/>
        </w:numPr>
        <w:jc w:val="both"/>
        <w:rPr>
          <w:b w:val="0"/>
          <w:bCs w:val="0"/>
        </w:rPr>
      </w:pPr>
    </w:p>
    <w:p w14:paraId="4D7DB680" w14:textId="77777777" w:rsidR="00F5358B" w:rsidRDefault="00F5358B" w:rsidP="00F5358B">
      <w:pPr>
        <w:numPr>
          <w:ilvl w:val="12"/>
          <w:numId w:val="0"/>
        </w:numPr>
        <w:jc w:val="both"/>
        <w:rPr>
          <w:b w:val="0"/>
          <w:bCs w:val="0"/>
        </w:rPr>
      </w:pPr>
      <w:r>
        <w:tab/>
        <w:t>(c) If mailed, a task order or BPA Call is considered “issued” when the Government deposits the order in the mail.  Orders may be orally, by facsimile, or by electronic commerce methods only if authorized in the Schedule.</w:t>
      </w:r>
    </w:p>
    <w:p w14:paraId="6ACF2DC2" w14:textId="77777777" w:rsidR="00F5358B" w:rsidRDefault="00F5358B" w:rsidP="00F5358B">
      <w:pPr>
        <w:numPr>
          <w:ilvl w:val="12"/>
          <w:numId w:val="0"/>
        </w:numPr>
        <w:jc w:val="both"/>
        <w:rPr>
          <w:b w:val="0"/>
          <w:bCs w:val="0"/>
        </w:rPr>
      </w:pPr>
    </w:p>
    <w:p w14:paraId="291B537B" w14:textId="77777777" w:rsidR="00F5358B" w:rsidRDefault="00F5358B" w:rsidP="00F5358B">
      <w:pPr>
        <w:numPr>
          <w:ilvl w:val="12"/>
          <w:numId w:val="0"/>
        </w:numPr>
        <w:jc w:val="both"/>
        <w:rPr>
          <w:b w:val="0"/>
          <w:bCs w:val="0"/>
        </w:rPr>
      </w:pPr>
    </w:p>
    <w:p w14:paraId="185E4DA8" w14:textId="77777777" w:rsidR="00F5358B" w:rsidRDefault="00F5358B" w:rsidP="00F5358B">
      <w:pPr>
        <w:pStyle w:val="Level1"/>
        <w:numPr>
          <w:ilvl w:val="0"/>
          <w:numId w:val="5"/>
        </w:numPr>
        <w:tabs>
          <w:tab w:val="left" w:pos="720"/>
        </w:tabs>
        <w:ind w:hanging="720"/>
        <w:jc w:val="both"/>
        <w:rPr>
          <w:b w:val="0"/>
          <w:bCs w:val="0"/>
          <w:u w:val="single"/>
        </w:rPr>
      </w:pPr>
      <w:r>
        <w:rPr>
          <w:u w:val="single"/>
        </w:rPr>
        <w:t>BLANKET PURCHASE AGREEMENT SPECIAL PROVISION</w:t>
      </w:r>
    </w:p>
    <w:p w14:paraId="74D5F3CE" w14:textId="77777777" w:rsidR="00F5358B" w:rsidRDefault="00F5358B" w:rsidP="00F5358B">
      <w:pPr>
        <w:numPr>
          <w:ilvl w:val="12"/>
          <w:numId w:val="0"/>
        </w:numPr>
        <w:jc w:val="both"/>
        <w:rPr>
          <w:b w:val="0"/>
          <w:bCs w:val="0"/>
          <w:u w:val="single"/>
        </w:rPr>
      </w:pPr>
    </w:p>
    <w:p w14:paraId="4EF71481" w14:textId="3BB76397" w:rsidR="00F5358B" w:rsidRDefault="00F5358B" w:rsidP="00F5358B">
      <w:pPr>
        <w:numPr>
          <w:ilvl w:val="12"/>
          <w:numId w:val="0"/>
        </w:numPr>
        <w:jc w:val="both"/>
        <w:rPr>
          <w:b w:val="0"/>
          <w:bCs w:val="0"/>
        </w:rPr>
      </w:pPr>
      <w:r>
        <w:t xml:space="preserve">Any order issued during the effective period of this BPA and not completed within that period shall be completed by the Contractor within the time specified in the order.  The BPA shall govern the Contractor’s and Government’s rights and obligations with respect to that order to the same extent as if the order were completed during the </w:t>
      </w:r>
      <w:proofErr w:type="gramStart"/>
      <w:r>
        <w:t>BPA’s  effective</w:t>
      </w:r>
      <w:proofErr w:type="gramEnd"/>
      <w:r>
        <w:t xml:space="preserve"> period; </w:t>
      </w:r>
      <w:r>
        <w:rPr>
          <w:i/>
          <w:iCs/>
        </w:rPr>
        <w:t>provided</w:t>
      </w:r>
      <w:r>
        <w:t>, that the Contractor shall not be required to make any deliveries under this BPA after 120</w:t>
      </w:r>
      <w:r w:rsidR="00345356">
        <w:t xml:space="preserve"> calendar</w:t>
      </w:r>
      <w:r>
        <w:t xml:space="preserve"> days.</w:t>
      </w:r>
    </w:p>
    <w:p w14:paraId="77DA7DA4" w14:textId="77777777" w:rsidR="00F5358B" w:rsidRDefault="00F5358B" w:rsidP="00F5358B">
      <w:pPr>
        <w:numPr>
          <w:ilvl w:val="12"/>
          <w:numId w:val="0"/>
        </w:numPr>
        <w:jc w:val="both"/>
        <w:rPr>
          <w:b w:val="0"/>
          <w:bCs w:val="0"/>
        </w:rPr>
      </w:pPr>
    </w:p>
    <w:p w14:paraId="1412E22F" w14:textId="77777777" w:rsidR="00F5358B" w:rsidRDefault="00F5358B" w:rsidP="00F5358B">
      <w:pPr>
        <w:numPr>
          <w:ilvl w:val="12"/>
          <w:numId w:val="0"/>
        </w:numPr>
        <w:jc w:val="both"/>
        <w:rPr>
          <w:b w:val="0"/>
          <w:bCs w:val="0"/>
        </w:rPr>
      </w:pPr>
    </w:p>
    <w:p w14:paraId="337BE43D" w14:textId="77777777" w:rsidR="00F5358B" w:rsidRDefault="00F5358B" w:rsidP="00F5358B">
      <w:pPr>
        <w:pStyle w:val="Level1"/>
        <w:numPr>
          <w:ilvl w:val="0"/>
          <w:numId w:val="5"/>
        </w:numPr>
        <w:tabs>
          <w:tab w:val="left" w:pos="720"/>
        </w:tabs>
        <w:ind w:hanging="720"/>
        <w:jc w:val="both"/>
        <w:rPr>
          <w:b w:val="0"/>
          <w:bCs w:val="0"/>
          <w:u w:val="single"/>
        </w:rPr>
      </w:pPr>
      <w:r>
        <w:rPr>
          <w:u w:val="single"/>
        </w:rPr>
        <w:t>PURCHASE LIMITATION</w:t>
      </w:r>
    </w:p>
    <w:p w14:paraId="32EFD6B9" w14:textId="77777777" w:rsidR="00F5358B" w:rsidRDefault="00F5358B" w:rsidP="00F5358B">
      <w:pPr>
        <w:numPr>
          <w:ilvl w:val="12"/>
          <w:numId w:val="0"/>
        </w:numPr>
        <w:jc w:val="both"/>
        <w:rPr>
          <w:b w:val="0"/>
          <w:bCs w:val="0"/>
          <w:u w:val="single"/>
        </w:rPr>
      </w:pPr>
    </w:p>
    <w:p w14:paraId="360D3386" w14:textId="77777777" w:rsidR="00F5358B" w:rsidRDefault="00F5358B" w:rsidP="00F5358B">
      <w:pPr>
        <w:numPr>
          <w:ilvl w:val="12"/>
          <w:numId w:val="0"/>
        </w:numPr>
        <w:jc w:val="both"/>
        <w:rPr>
          <w:b w:val="0"/>
          <w:bCs w:val="0"/>
        </w:rPr>
      </w:pPr>
      <w:r>
        <w:t>No individual order under this BPA shall exceed $10,000.00 without prior approval of the Contracting Officer.</w:t>
      </w:r>
    </w:p>
    <w:p w14:paraId="337E7DFD" w14:textId="77777777" w:rsidR="00F5358B" w:rsidRDefault="00F5358B" w:rsidP="00F5358B">
      <w:pPr>
        <w:numPr>
          <w:ilvl w:val="12"/>
          <w:numId w:val="0"/>
        </w:numPr>
        <w:jc w:val="both"/>
        <w:rPr>
          <w:b w:val="0"/>
          <w:bCs w:val="0"/>
        </w:rPr>
      </w:pPr>
    </w:p>
    <w:p w14:paraId="16B41261" w14:textId="77777777" w:rsidR="00F5358B" w:rsidRDefault="00F5358B" w:rsidP="00F5358B">
      <w:pPr>
        <w:numPr>
          <w:ilvl w:val="12"/>
          <w:numId w:val="0"/>
        </w:numPr>
        <w:jc w:val="both"/>
        <w:rPr>
          <w:b w:val="0"/>
          <w:bCs w:val="0"/>
        </w:rPr>
      </w:pPr>
    </w:p>
    <w:p w14:paraId="1531C0F3" w14:textId="77777777" w:rsidR="00F5358B" w:rsidRDefault="00F5358B" w:rsidP="00F5358B">
      <w:pPr>
        <w:pStyle w:val="Level1"/>
        <w:numPr>
          <w:ilvl w:val="0"/>
          <w:numId w:val="5"/>
        </w:numPr>
        <w:tabs>
          <w:tab w:val="left" w:pos="720"/>
        </w:tabs>
        <w:ind w:hanging="720"/>
        <w:jc w:val="both"/>
        <w:rPr>
          <w:b w:val="0"/>
          <w:bCs w:val="0"/>
        </w:rPr>
      </w:pPr>
      <w:r>
        <w:rPr>
          <w:u w:val="single"/>
        </w:rPr>
        <w:t>NOTICE OF INDIVIDUALS AUTHORIZED TO PURCHASE UNDER THIS BPA AND DOLLAR LIMITATIONS</w:t>
      </w:r>
    </w:p>
    <w:p w14:paraId="30C3D61D" w14:textId="77777777" w:rsidR="00F5358B" w:rsidRDefault="00F5358B" w:rsidP="00F5358B">
      <w:pPr>
        <w:numPr>
          <w:ilvl w:val="12"/>
          <w:numId w:val="0"/>
        </w:numPr>
        <w:jc w:val="both"/>
        <w:rPr>
          <w:b w:val="0"/>
          <w:bCs w:val="0"/>
        </w:rPr>
      </w:pPr>
    </w:p>
    <w:p w14:paraId="63F9D3F9" w14:textId="77777777" w:rsidR="00F5358B" w:rsidRDefault="00F5358B" w:rsidP="00F5358B">
      <w:pPr>
        <w:numPr>
          <w:ilvl w:val="12"/>
          <w:numId w:val="0"/>
        </w:numPr>
        <w:jc w:val="both"/>
        <w:rPr>
          <w:b w:val="0"/>
          <w:bCs w:val="0"/>
        </w:rPr>
      </w:pPr>
      <w:r>
        <w:t>The following individuals are authorized to place orders under this BPA:</w:t>
      </w:r>
    </w:p>
    <w:p w14:paraId="0245F591" w14:textId="77777777" w:rsidR="00F5358B" w:rsidRDefault="00F5358B" w:rsidP="00F5358B">
      <w:pPr>
        <w:numPr>
          <w:ilvl w:val="12"/>
          <w:numId w:val="0"/>
        </w:numPr>
        <w:jc w:val="both"/>
        <w:rPr>
          <w:b w:val="0"/>
          <w:bCs w:val="0"/>
        </w:rPr>
      </w:pPr>
    </w:p>
    <w:p w14:paraId="50EA63B0" w14:textId="77777777" w:rsidR="00F5358B" w:rsidRDefault="00F5358B" w:rsidP="00F5358B">
      <w:pPr>
        <w:numPr>
          <w:ilvl w:val="12"/>
          <w:numId w:val="0"/>
        </w:numPr>
        <w:jc w:val="both"/>
        <w:rPr>
          <w:b w:val="0"/>
          <w:bCs w:val="0"/>
        </w:rPr>
      </w:pPr>
      <w:r>
        <w:rPr>
          <w:u w:val="single"/>
        </w:rPr>
        <w:t>NAME</w:t>
      </w:r>
      <w:r>
        <w:tab/>
      </w:r>
      <w:r>
        <w:tab/>
      </w:r>
      <w:r>
        <w:tab/>
      </w:r>
      <w:r>
        <w:rPr>
          <w:u w:val="single"/>
        </w:rPr>
        <w:t>TITLE</w:t>
      </w:r>
      <w:r>
        <w:tab/>
      </w:r>
      <w:r>
        <w:tab/>
      </w:r>
      <w:r>
        <w:rPr>
          <w:u w:val="single"/>
        </w:rPr>
        <w:t xml:space="preserve">DOLLAR </w:t>
      </w:r>
      <w:proofErr w:type="gramStart"/>
      <w:r>
        <w:rPr>
          <w:u w:val="single"/>
        </w:rPr>
        <w:t>LIMITATION  PER</w:t>
      </w:r>
      <w:proofErr w:type="gramEnd"/>
      <w:r>
        <w:rPr>
          <w:u w:val="single"/>
        </w:rPr>
        <w:t xml:space="preserve"> CALL</w:t>
      </w:r>
    </w:p>
    <w:p w14:paraId="4AFF30A1" w14:textId="77777777" w:rsidR="00F5358B" w:rsidRDefault="00F5358B" w:rsidP="00F5358B">
      <w:pPr>
        <w:numPr>
          <w:ilvl w:val="12"/>
          <w:numId w:val="0"/>
        </w:numPr>
        <w:jc w:val="both"/>
        <w:rPr>
          <w:b w:val="0"/>
          <w:bCs w:val="0"/>
        </w:rPr>
      </w:pPr>
    </w:p>
    <w:p w14:paraId="3AF96B3A" w14:textId="77777777" w:rsidR="00F5358B" w:rsidRDefault="00F5358B" w:rsidP="00F5358B">
      <w:pPr>
        <w:numPr>
          <w:ilvl w:val="12"/>
          <w:numId w:val="0"/>
        </w:numPr>
        <w:jc w:val="both"/>
        <w:rPr>
          <w:b w:val="0"/>
          <w:bCs w:val="0"/>
        </w:rPr>
      </w:pPr>
      <w:r>
        <w:t>Primary:</w:t>
      </w:r>
    </w:p>
    <w:p w14:paraId="0D9368A4" w14:textId="77777777" w:rsidR="00F5358B" w:rsidRDefault="00F5358B" w:rsidP="00F5358B">
      <w:pPr>
        <w:numPr>
          <w:ilvl w:val="12"/>
          <w:numId w:val="0"/>
        </w:numPr>
        <w:jc w:val="both"/>
        <w:rPr>
          <w:b w:val="0"/>
          <w:bCs w:val="0"/>
        </w:rPr>
      </w:pPr>
    </w:p>
    <w:p w14:paraId="6B220383" w14:textId="77777777" w:rsidR="00F5358B" w:rsidRDefault="00F5358B" w:rsidP="00F5358B">
      <w:pPr>
        <w:numPr>
          <w:ilvl w:val="12"/>
          <w:numId w:val="0"/>
        </w:numPr>
        <w:tabs>
          <w:tab w:val="left" w:pos="720"/>
          <w:tab w:val="left" w:pos="1440"/>
          <w:tab w:val="left" w:pos="2160"/>
          <w:tab w:val="left" w:pos="2880"/>
          <w:tab w:val="left" w:pos="3600"/>
          <w:tab w:val="left" w:pos="4320"/>
          <w:tab w:val="left" w:pos="5040"/>
          <w:tab w:val="left" w:pos="5760"/>
          <w:tab w:val="left" w:pos="6480"/>
        </w:tabs>
        <w:ind w:left="6480" w:hanging="6480"/>
        <w:jc w:val="both"/>
        <w:rPr>
          <w:b w:val="0"/>
          <w:bCs w:val="0"/>
        </w:rPr>
      </w:pPr>
      <w:r>
        <w:t xml:space="preserve"> </w:t>
      </w:r>
      <w:r>
        <w:tab/>
      </w:r>
      <w:r>
        <w:tab/>
      </w:r>
      <w:r>
        <w:tab/>
      </w:r>
      <w:r>
        <w:tab/>
        <w:t>Contracting Officer</w:t>
      </w:r>
      <w:r>
        <w:tab/>
      </w:r>
      <w:r>
        <w:tab/>
      </w:r>
      <w:r>
        <w:tab/>
        <w:t>$10,000.00</w:t>
      </w:r>
    </w:p>
    <w:p w14:paraId="12EDB1AD" w14:textId="77777777" w:rsidR="00F5358B" w:rsidRDefault="00F5358B" w:rsidP="00F5358B">
      <w:pPr>
        <w:numPr>
          <w:ilvl w:val="12"/>
          <w:numId w:val="0"/>
        </w:numPr>
        <w:jc w:val="both"/>
        <w:rPr>
          <w:b w:val="0"/>
          <w:bCs w:val="0"/>
        </w:rPr>
      </w:pPr>
    </w:p>
    <w:p w14:paraId="43C601B4" w14:textId="77777777" w:rsidR="00F5358B" w:rsidRDefault="00F5358B" w:rsidP="00F5358B">
      <w:pPr>
        <w:numPr>
          <w:ilvl w:val="12"/>
          <w:numId w:val="0"/>
        </w:numPr>
        <w:jc w:val="both"/>
        <w:rPr>
          <w:b w:val="0"/>
          <w:bCs w:val="0"/>
        </w:rPr>
      </w:pPr>
      <w:r>
        <w:t>Alternates:</w:t>
      </w:r>
    </w:p>
    <w:p w14:paraId="1E3C37A6" w14:textId="77777777" w:rsidR="00F5358B" w:rsidRDefault="00F5358B" w:rsidP="00F5358B">
      <w:pPr>
        <w:numPr>
          <w:ilvl w:val="12"/>
          <w:numId w:val="0"/>
        </w:numPr>
        <w:jc w:val="both"/>
        <w:rPr>
          <w:b w:val="0"/>
          <w:bCs w:val="0"/>
        </w:rPr>
      </w:pPr>
    </w:p>
    <w:p w14:paraId="072FAC4E" w14:textId="77777777" w:rsidR="00F5358B" w:rsidRDefault="00F5358B" w:rsidP="00F5358B">
      <w:pPr>
        <w:numPr>
          <w:ilvl w:val="12"/>
          <w:numId w:val="0"/>
        </w:numPr>
        <w:jc w:val="both"/>
        <w:rPr>
          <w:b w:val="0"/>
          <w:bCs w:val="0"/>
        </w:rPr>
      </w:pPr>
      <w:r>
        <w:tab/>
      </w:r>
      <w:r>
        <w:tab/>
      </w:r>
      <w:r>
        <w:tab/>
      </w:r>
      <w:r>
        <w:tab/>
        <w:t>Contracting Officer</w:t>
      </w:r>
      <w:r>
        <w:tab/>
      </w:r>
      <w:r>
        <w:tab/>
      </w:r>
      <w:r>
        <w:tab/>
        <w:t>$10,000.00</w:t>
      </w:r>
    </w:p>
    <w:p w14:paraId="4AF1ED60" w14:textId="77777777" w:rsidR="00F5358B" w:rsidRDefault="00F5358B" w:rsidP="00F5358B">
      <w:pPr>
        <w:numPr>
          <w:ilvl w:val="12"/>
          <w:numId w:val="0"/>
        </w:numPr>
        <w:tabs>
          <w:tab w:val="left" w:pos="720"/>
          <w:tab w:val="left" w:pos="1440"/>
          <w:tab w:val="left" w:pos="2160"/>
          <w:tab w:val="left" w:pos="2880"/>
          <w:tab w:val="left" w:pos="3600"/>
          <w:tab w:val="left" w:pos="4320"/>
          <w:tab w:val="left" w:pos="5040"/>
          <w:tab w:val="left" w:pos="5760"/>
          <w:tab w:val="left" w:pos="6480"/>
        </w:tabs>
        <w:ind w:left="6480" w:hanging="6480"/>
        <w:jc w:val="both"/>
        <w:rPr>
          <w:b w:val="0"/>
          <w:bCs w:val="0"/>
        </w:rPr>
      </w:pPr>
      <w:r>
        <w:tab/>
      </w:r>
      <w:r>
        <w:tab/>
      </w:r>
      <w:r>
        <w:tab/>
      </w:r>
      <w:r>
        <w:tab/>
        <w:t>Contracting Officer</w:t>
      </w:r>
      <w:r>
        <w:tab/>
      </w:r>
      <w:r>
        <w:tab/>
      </w:r>
      <w:r>
        <w:tab/>
        <w:t>$10,000.00</w:t>
      </w:r>
    </w:p>
    <w:p w14:paraId="3E2C48D4" w14:textId="77777777" w:rsidR="00F5358B" w:rsidRDefault="00F5358B" w:rsidP="00F5358B">
      <w:pPr>
        <w:numPr>
          <w:ilvl w:val="12"/>
          <w:numId w:val="0"/>
        </w:numPr>
        <w:jc w:val="both"/>
        <w:rPr>
          <w:b w:val="0"/>
          <w:bCs w:val="0"/>
        </w:rPr>
      </w:pPr>
    </w:p>
    <w:p w14:paraId="43F2B565" w14:textId="77777777" w:rsidR="00F5358B" w:rsidRDefault="00F5358B" w:rsidP="00F5358B">
      <w:pPr>
        <w:numPr>
          <w:ilvl w:val="12"/>
          <w:numId w:val="0"/>
        </w:numPr>
        <w:jc w:val="both"/>
        <w:rPr>
          <w:b w:val="0"/>
          <w:bCs w:val="0"/>
        </w:rPr>
      </w:pPr>
      <w:r>
        <w:t xml:space="preserve">Orders shall be made by government Visa charge card or in writing.  Each written order shall be submitted by the EEOC Program Office on the EEOC Form 123 (Revised September 92).  All Visa charge card purchases will be tracked by charge card number and BPA </w:t>
      </w:r>
      <w:proofErr w:type="gramStart"/>
      <w:r>
        <w:t>Call  number</w:t>
      </w:r>
      <w:proofErr w:type="gramEnd"/>
      <w:r>
        <w:t>.</w:t>
      </w:r>
    </w:p>
    <w:p w14:paraId="5125CF5D" w14:textId="057459DF" w:rsidR="00F5358B" w:rsidRDefault="00F5358B" w:rsidP="00F5358B">
      <w:pPr>
        <w:numPr>
          <w:ilvl w:val="12"/>
          <w:numId w:val="0"/>
        </w:numPr>
        <w:jc w:val="both"/>
        <w:rPr>
          <w:b w:val="0"/>
          <w:bCs w:val="0"/>
        </w:rPr>
      </w:pPr>
    </w:p>
    <w:p w14:paraId="5BA87476" w14:textId="6888B266" w:rsidR="00345356" w:rsidRDefault="00345356" w:rsidP="00F5358B">
      <w:pPr>
        <w:numPr>
          <w:ilvl w:val="12"/>
          <w:numId w:val="0"/>
        </w:numPr>
        <w:jc w:val="both"/>
        <w:rPr>
          <w:b w:val="0"/>
          <w:bCs w:val="0"/>
        </w:rPr>
      </w:pPr>
    </w:p>
    <w:p w14:paraId="5F30E398" w14:textId="77777777" w:rsidR="00345356" w:rsidRDefault="00345356" w:rsidP="00F5358B">
      <w:pPr>
        <w:numPr>
          <w:ilvl w:val="12"/>
          <w:numId w:val="0"/>
        </w:numPr>
        <w:jc w:val="both"/>
        <w:rPr>
          <w:b w:val="0"/>
          <w:bCs w:val="0"/>
        </w:rPr>
      </w:pPr>
    </w:p>
    <w:p w14:paraId="3290FD4D" w14:textId="77777777" w:rsidR="00F5358B" w:rsidRDefault="00F5358B" w:rsidP="00F5358B">
      <w:pPr>
        <w:numPr>
          <w:ilvl w:val="12"/>
          <w:numId w:val="0"/>
        </w:numPr>
        <w:jc w:val="both"/>
        <w:rPr>
          <w:b w:val="0"/>
          <w:bCs w:val="0"/>
        </w:rPr>
      </w:pPr>
    </w:p>
    <w:p w14:paraId="7F5236A1" w14:textId="77777777" w:rsidR="00F5358B" w:rsidRDefault="00F5358B" w:rsidP="00F5358B">
      <w:pPr>
        <w:pStyle w:val="Level1"/>
        <w:numPr>
          <w:ilvl w:val="0"/>
          <w:numId w:val="5"/>
        </w:numPr>
        <w:tabs>
          <w:tab w:val="left" w:pos="720"/>
        </w:tabs>
        <w:ind w:hanging="720"/>
        <w:jc w:val="both"/>
        <w:rPr>
          <w:b w:val="0"/>
          <w:bCs w:val="0"/>
          <w:u w:val="single"/>
        </w:rPr>
      </w:pPr>
      <w:r>
        <w:rPr>
          <w:u w:val="single"/>
        </w:rPr>
        <w:lastRenderedPageBreak/>
        <w:t>DELIVERY TICKETS</w:t>
      </w:r>
    </w:p>
    <w:p w14:paraId="1006BF85" w14:textId="77777777" w:rsidR="00F5358B" w:rsidRDefault="00F5358B" w:rsidP="00F5358B">
      <w:pPr>
        <w:numPr>
          <w:ilvl w:val="12"/>
          <w:numId w:val="0"/>
        </w:numPr>
        <w:jc w:val="both"/>
        <w:rPr>
          <w:b w:val="0"/>
          <w:bCs w:val="0"/>
          <w:u w:val="single"/>
        </w:rPr>
      </w:pPr>
    </w:p>
    <w:p w14:paraId="6DEDFCB3" w14:textId="77777777" w:rsidR="00F5358B" w:rsidRDefault="00F5358B" w:rsidP="00F5358B">
      <w:pPr>
        <w:numPr>
          <w:ilvl w:val="12"/>
          <w:numId w:val="0"/>
        </w:numPr>
        <w:jc w:val="both"/>
        <w:rPr>
          <w:b w:val="0"/>
          <w:bCs w:val="0"/>
        </w:rPr>
      </w:pPr>
      <w:r>
        <w:t>All shipments under this BPA, shall be accompanied by delivery tickets or sales slips which shall contain the following minimum information:</w:t>
      </w:r>
    </w:p>
    <w:p w14:paraId="5E043F62" w14:textId="77777777" w:rsidR="00F5358B" w:rsidRDefault="00F5358B" w:rsidP="00F5358B">
      <w:pPr>
        <w:numPr>
          <w:ilvl w:val="12"/>
          <w:numId w:val="0"/>
        </w:numPr>
        <w:jc w:val="both"/>
        <w:rPr>
          <w:b w:val="0"/>
          <w:bCs w:val="0"/>
        </w:rPr>
      </w:pPr>
    </w:p>
    <w:p w14:paraId="64008338" w14:textId="77777777" w:rsidR="00F5358B" w:rsidRDefault="00F5358B" w:rsidP="00F5358B">
      <w:pPr>
        <w:pStyle w:val="Level2"/>
        <w:numPr>
          <w:ilvl w:val="0"/>
          <w:numId w:val="6"/>
        </w:numPr>
        <w:tabs>
          <w:tab w:val="left" w:pos="720"/>
        </w:tabs>
        <w:jc w:val="both"/>
        <w:rPr>
          <w:b w:val="0"/>
          <w:bCs w:val="0"/>
        </w:rPr>
      </w:pPr>
      <w:r>
        <w:t>Name of supplier.</w:t>
      </w:r>
    </w:p>
    <w:p w14:paraId="02B6D569" w14:textId="77777777" w:rsidR="00F5358B" w:rsidRDefault="00F5358B" w:rsidP="00F5358B">
      <w:pPr>
        <w:pStyle w:val="Level2"/>
        <w:tabs>
          <w:tab w:val="left" w:pos="720"/>
          <w:tab w:val="left" w:pos="1440"/>
        </w:tabs>
        <w:ind w:left="0"/>
        <w:jc w:val="both"/>
        <w:rPr>
          <w:b w:val="0"/>
          <w:bCs w:val="0"/>
        </w:rPr>
      </w:pPr>
      <w:r>
        <w:tab/>
        <w:t>B.</w:t>
      </w:r>
      <w:r>
        <w:tab/>
        <w:t>BPA Number.</w:t>
      </w:r>
    </w:p>
    <w:p w14:paraId="3B25DD5C" w14:textId="77777777" w:rsidR="00F5358B" w:rsidRDefault="00F5358B" w:rsidP="00F5358B">
      <w:pPr>
        <w:pStyle w:val="Level2"/>
        <w:numPr>
          <w:ilvl w:val="1"/>
          <w:numId w:val="5"/>
        </w:numPr>
        <w:tabs>
          <w:tab w:val="left" w:pos="720"/>
          <w:tab w:val="left" w:pos="1440"/>
        </w:tabs>
        <w:ind w:hanging="720"/>
        <w:jc w:val="both"/>
        <w:rPr>
          <w:b w:val="0"/>
          <w:bCs w:val="0"/>
        </w:rPr>
      </w:pPr>
      <w:r>
        <w:t>Date of order/person’s name that placed order/person’s name who took the order.</w:t>
      </w:r>
    </w:p>
    <w:p w14:paraId="36A9DF74" w14:textId="77777777" w:rsidR="00F5358B" w:rsidRDefault="00F5358B" w:rsidP="00F5358B">
      <w:pPr>
        <w:pStyle w:val="Level2"/>
        <w:numPr>
          <w:ilvl w:val="1"/>
          <w:numId w:val="5"/>
        </w:numPr>
        <w:tabs>
          <w:tab w:val="left" w:pos="720"/>
          <w:tab w:val="left" w:pos="1440"/>
        </w:tabs>
        <w:ind w:hanging="720"/>
        <w:jc w:val="both"/>
        <w:rPr>
          <w:b w:val="0"/>
          <w:bCs w:val="0"/>
        </w:rPr>
      </w:pPr>
      <w:r>
        <w:t>Order/BPA Call Number.</w:t>
      </w:r>
    </w:p>
    <w:p w14:paraId="2DEE2521" w14:textId="77777777" w:rsidR="00F5358B" w:rsidRDefault="00F5358B" w:rsidP="00F5358B">
      <w:pPr>
        <w:pStyle w:val="Level2"/>
        <w:numPr>
          <w:ilvl w:val="1"/>
          <w:numId w:val="5"/>
        </w:numPr>
        <w:tabs>
          <w:tab w:val="left" w:pos="720"/>
          <w:tab w:val="left" w:pos="1440"/>
        </w:tabs>
        <w:ind w:hanging="720"/>
        <w:jc w:val="both"/>
        <w:rPr>
          <w:b w:val="0"/>
          <w:bCs w:val="0"/>
        </w:rPr>
      </w:pPr>
      <w:r>
        <w:t>Itemized list of supplies or services furnished.</w:t>
      </w:r>
    </w:p>
    <w:p w14:paraId="2413417A" w14:textId="77777777" w:rsidR="00F5358B" w:rsidRDefault="00F5358B" w:rsidP="00F5358B">
      <w:pPr>
        <w:pStyle w:val="Level2"/>
        <w:numPr>
          <w:ilvl w:val="1"/>
          <w:numId w:val="5"/>
        </w:numPr>
        <w:tabs>
          <w:tab w:val="left" w:pos="720"/>
          <w:tab w:val="left" w:pos="1440"/>
        </w:tabs>
        <w:ind w:hanging="720"/>
        <w:jc w:val="both"/>
        <w:rPr>
          <w:b w:val="0"/>
          <w:bCs w:val="0"/>
        </w:rPr>
      </w:pPr>
      <w:r>
        <w:t>Quantity, unit price, and extension of each item, less applicable discounts (unit prices and extensions need not be shown when incompatible with the use of automated systems; provided, that the invoice is itemized to show this information).</w:t>
      </w:r>
    </w:p>
    <w:p w14:paraId="11C39AAC" w14:textId="77777777" w:rsidR="00F5358B" w:rsidRDefault="00F5358B" w:rsidP="00F5358B">
      <w:pPr>
        <w:pStyle w:val="Level2"/>
        <w:numPr>
          <w:ilvl w:val="1"/>
          <w:numId w:val="5"/>
        </w:numPr>
        <w:tabs>
          <w:tab w:val="left" w:pos="720"/>
          <w:tab w:val="left" w:pos="1440"/>
        </w:tabs>
        <w:ind w:hanging="720"/>
        <w:jc w:val="both"/>
        <w:rPr>
          <w:b w:val="0"/>
          <w:bCs w:val="0"/>
        </w:rPr>
      </w:pPr>
      <w:r>
        <w:t>Date of delivery of services or shipment.</w:t>
      </w:r>
    </w:p>
    <w:p w14:paraId="1811788D" w14:textId="77777777" w:rsidR="00F5358B" w:rsidRDefault="00F5358B" w:rsidP="00F5358B">
      <w:pPr>
        <w:numPr>
          <w:ilvl w:val="12"/>
          <w:numId w:val="0"/>
        </w:numPr>
        <w:jc w:val="both"/>
        <w:rPr>
          <w:b w:val="0"/>
          <w:bCs w:val="0"/>
        </w:rPr>
      </w:pPr>
    </w:p>
    <w:p w14:paraId="714A784F" w14:textId="77777777" w:rsidR="00F5358B" w:rsidRDefault="00F5358B" w:rsidP="00F5358B">
      <w:pPr>
        <w:numPr>
          <w:ilvl w:val="12"/>
          <w:numId w:val="0"/>
        </w:numPr>
        <w:jc w:val="both"/>
        <w:rPr>
          <w:b w:val="0"/>
          <w:bCs w:val="0"/>
        </w:rPr>
      </w:pPr>
    </w:p>
    <w:p w14:paraId="50F66CA7" w14:textId="77777777" w:rsidR="00F5358B" w:rsidRDefault="00F5358B" w:rsidP="00F5358B">
      <w:pPr>
        <w:pStyle w:val="Level1"/>
        <w:numPr>
          <w:ilvl w:val="0"/>
          <w:numId w:val="5"/>
        </w:numPr>
        <w:tabs>
          <w:tab w:val="left" w:pos="720"/>
        </w:tabs>
        <w:ind w:hanging="720"/>
        <w:jc w:val="both"/>
        <w:rPr>
          <w:b w:val="0"/>
          <w:bCs w:val="0"/>
          <w:u w:val="single"/>
        </w:rPr>
      </w:pPr>
      <w:r>
        <w:rPr>
          <w:u w:val="single"/>
        </w:rPr>
        <w:t>INVOICES</w:t>
      </w:r>
    </w:p>
    <w:p w14:paraId="18B3298C" w14:textId="77777777" w:rsidR="00F5358B" w:rsidRDefault="00F5358B" w:rsidP="00F5358B">
      <w:pPr>
        <w:numPr>
          <w:ilvl w:val="12"/>
          <w:numId w:val="0"/>
        </w:numPr>
        <w:jc w:val="both"/>
        <w:rPr>
          <w:b w:val="0"/>
          <w:bCs w:val="0"/>
          <w:u w:val="single"/>
        </w:rPr>
      </w:pPr>
    </w:p>
    <w:p w14:paraId="2C4DA266" w14:textId="77777777" w:rsidR="00F5358B" w:rsidRDefault="00F5358B" w:rsidP="00F5358B">
      <w:pPr>
        <w:numPr>
          <w:ilvl w:val="12"/>
          <w:numId w:val="0"/>
        </w:numPr>
        <w:jc w:val="both"/>
        <w:rPr>
          <w:b w:val="0"/>
          <w:bCs w:val="0"/>
        </w:rPr>
      </w:pPr>
      <w:r>
        <w:t>An itemized invoice shall be submitted within 30 calendar days after issuing the decision or after issuing the document that record the resolution of the complaint. The contractor shall submit an electronic invoice to the U.S. Department of The Treasury’s Invoice Processing Platform (IPP) to submit invoices to EEOC.</w:t>
      </w:r>
    </w:p>
    <w:p w14:paraId="395BE1EC" w14:textId="77777777" w:rsidR="00F5358B" w:rsidRDefault="00F5358B" w:rsidP="00F5358B">
      <w:pPr>
        <w:numPr>
          <w:ilvl w:val="12"/>
          <w:numId w:val="0"/>
        </w:numPr>
        <w:jc w:val="both"/>
        <w:rPr>
          <w:b w:val="0"/>
          <w:bCs w:val="0"/>
        </w:rPr>
      </w:pPr>
    </w:p>
    <w:p w14:paraId="14F6DD6C" w14:textId="77777777" w:rsidR="00F5358B" w:rsidRDefault="00F5358B" w:rsidP="00F5358B">
      <w:pPr>
        <w:ind w:firstLine="720"/>
        <w:jc w:val="both"/>
      </w:pPr>
      <w:r>
        <w:tab/>
        <w:t xml:space="preserve">Email Address: </w:t>
      </w:r>
      <w:hyperlink r:id="rId14" w:history="1">
        <w:r w:rsidRPr="006835EB">
          <w:rPr>
            <w:rStyle w:val="Hyperlink"/>
          </w:rPr>
          <w:t>www.ipp.gov</w:t>
        </w:r>
      </w:hyperlink>
    </w:p>
    <w:p w14:paraId="5D994509" w14:textId="77777777" w:rsidR="00F5358B" w:rsidRDefault="00F5358B" w:rsidP="00F5358B">
      <w:pPr>
        <w:ind w:firstLine="720"/>
        <w:jc w:val="both"/>
        <w:rPr>
          <w:b w:val="0"/>
          <w:bCs w:val="0"/>
        </w:rPr>
      </w:pPr>
    </w:p>
    <w:p w14:paraId="5BFA4B13" w14:textId="77777777" w:rsidR="00F5358B" w:rsidRDefault="00F5358B" w:rsidP="00F5358B">
      <w:pPr>
        <w:numPr>
          <w:ilvl w:val="12"/>
          <w:numId w:val="0"/>
        </w:numPr>
        <w:jc w:val="both"/>
        <w:rPr>
          <w:b w:val="0"/>
          <w:bCs w:val="0"/>
        </w:rPr>
      </w:pPr>
      <w:r>
        <w:t>The contractor shall submit a duplicate invoice via email or fax to the following addresses:</w:t>
      </w:r>
    </w:p>
    <w:p w14:paraId="2C1F0BD1" w14:textId="77777777" w:rsidR="00F5358B" w:rsidRDefault="00F5358B" w:rsidP="00F5358B">
      <w:pPr>
        <w:numPr>
          <w:ilvl w:val="12"/>
          <w:numId w:val="0"/>
        </w:numPr>
        <w:jc w:val="both"/>
        <w:rPr>
          <w:b w:val="0"/>
          <w:bCs w:val="0"/>
        </w:rPr>
      </w:pPr>
    </w:p>
    <w:p w14:paraId="3E152AB1" w14:textId="77777777" w:rsidR="00F5358B" w:rsidRDefault="00F5358B" w:rsidP="00F5358B">
      <w:pPr>
        <w:numPr>
          <w:ilvl w:val="12"/>
          <w:numId w:val="0"/>
        </w:numPr>
        <w:jc w:val="both"/>
        <w:rPr>
          <w:b w:val="0"/>
          <w:bCs w:val="0"/>
        </w:rPr>
      </w:pPr>
      <w:r>
        <w:tab/>
        <w:t>U.S. Equal Employment Opportunity Commission</w:t>
      </w:r>
    </w:p>
    <w:p w14:paraId="4D139301" w14:textId="77777777" w:rsidR="00F5358B" w:rsidRDefault="00F5358B" w:rsidP="00F5358B">
      <w:pPr>
        <w:numPr>
          <w:ilvl w:val="12"/>
          <w:numId w:val="0"/>
        </w:numPr>
        <w:jc w:val="both"/>
        <w:rPr>
          <w:b w:val="0"/>
          <w:bCs w:val="0"/>
        </w:rPr>
      </w:pPr>
      <w:r>
        <w:tab/>
        <w:t xml:space="preserve">Office of Federal Operations </w:t>
      </w:r>
    </w:p>
    <w:p w14:paraId="02FB6AE1" w14:textId="77777777" w:rsidR="00F5358B" w:rsidRDefault="00F5358B" w:rsidP="00F5358B">
      <w:pPr>
        <w:numPr>
          <w:ilvl w:val="12"/>
          <w:numId w:val="0"/>
        </w:numPr>
        <w:jc w:val="both"/>
        <w:rPr>
          <w:b w:val="0"/>
          <w:bCs w:val="0"/>
        </w:rPr>
      </w:pPr>
      <w:r>
        <w:tab/>
        <w:t>131 M ST., N.E., Room 5SE21B</w:t>
      </w:r>
    </w:p>
    <w:p w14:paraId="023FE13B" w14:textId="77777777" w:rsidR="00F5358B" w:rsidRDefault="00F5358B" w:rsidP="00F5358B">
      <w:pPr>
        <w:numPr>
          <w:ilvl w:val="12"/>
          <w:numId w:val="0"/>
        </w:numPr>
        <w:jc w:val="both"/>
        <w:rPr>
          <w:b w:val="0"/>
          <w:bCs w:val="0"/>
        </w:rPr>
      </w:pPr>
      <w:r>
        <w:tab/>
        <w:t>Washington, DC  20507</w:t>
      </w:r>
    </w:p>
    <w:p w14:paraId="67B03D58" w14:textId="792C9922" w:rsidR="00F5358B" w:rsidRDefault="00F5358B" w:rsidP="00F5358B">
      <w:pPr>
        <w:numPr>
          <w:ilvl w:val="12"/>
          <w:numId w:val="0"/>
        </w:numPr>
        <w:jc w:val="both"/>
        <w:rPr>
          <w:b w:val="0"/>
          <w:bCs w:val="0"/>
        </w:rPr>
      </w:pPr>
      <w:r>
        <w:tab/>
        <w:t xml:space="preserve">Attn: </w:t>
      </w:r>
      <w:r w:rsidR="00345356">
        <w:t>TBD</w:t>
      </w:r>
    </w:p>
    <w:p w14:paraId="6F2E508C" w14:textId="77777777" w:rsidR="00F5358B" w:rsidRPr="00B81FD2" w:rsidRDefault="00F5358B" w:rsidP="00F5358B">
      <w:pPr>
        <w:numPr>
          <w:ilvl w:val="12"/>
          <w:numId w:val="0"/>
        </w:numPr>
        <w:jc w:val="both"/>
        <w:rPr>
          <w:b w:val="0"/>
          <w:bCs w:val="0"/>
        </w:rPr>
      </w:pPr>
      <w:r>
        <w:tab/>
      </w:r>
      <w:r w:rsidRPr="00ED70F2">
        <w:t>Fax No.: (202) 663-</w:t>
      </w:r>
      <w:r>
        <w:t>4592</w:t>
      </w:r>
    </w:p>
    <w:p w14:paraId="2C5B8A7A" w14:textId="22AB19E4" w:rsidR="00F5358B" w:rsidRDefault="00F5358B" w:rsidP="00F5358B">
      <w:pPr>
        <w:numPr>
          <w:ilvl w:val="12"/>
          <w:numId w:val="0"/>
        </w:numPr>
        <w:jc w:val="both"/>
      </w:pPr>
    </w:p>
    <w:p w14:paraId="190CFE19" w14:textId="77777777" w:rsidR="00345356" w:rsidRPr="00B81FD2" w:rsidRDefault="00345356" w:rsidP="00F5358B">
      <w:pPr>
        <w:numPr>
          <w:ilvl w:val="12"/>
          <w:numId w:val="0"/>
        </w:numPr>
        <w:jc w:val="both"/>
        <w:rPr>
          <w:b w:val="0"/>
          <w:bCs w:val="0"/>
        </w:rPr>
      </w:pPr>
    </w:p>
    <w:p w14:paraId="4EDC3925" w14:textId="77777777" w:rsidR="00F5358B" w:rsidRDefault="00F5358B" w:rsidP="00F5358B">
      <w:pPr>
        <w:numPr>
          <w:ilvl w:val="12"/>
          <w:numId w:val="0"/>
        </w:numPr>
        <w:jc w:val="both"/>
        <w:rPr>
          <w:b w:val="0"/>
          <w:bCs w:val="0"/>
        </w:rPr>
      </w:pPr>
      <w:r w:rsidRPr="00ED70F2">
        <w:tab/>
      </w:r>
    </w:p>
    <w:p w14:paraId="71891D93" w14:textId="77777777" w:rsidR="00F5358B" w:rsidRPr="00714812" w:rsidRDefault="00F5358B" w:rsidP="00F5358B">
      <w:pPr>
        <w:rPr>
          <w:b w:val="0"/>
        </w:rPr>
      </w:pPr>
      <w:r>
        <w:tab/>
      </w:r>
      <w:r w:rsidRPr="00714812">
        <w:t>U.S. Equal Employment Opportunity Commission</w:t>
      </w:r>
    </w:p>
    <w:p w14:paraId="34408824" w14:textId="77777777" w:rsidR="00F5358B" w:rsidRPr="00714812" w:rsidRDefault="00F5358B" w:rsidP="00F5358B">
      <w:pPr>
        <w:ind w:firstLine="720"/>
        <w:rPr>
          <w:b w:val="0"/>
        </w:rPr>
      </w:pPr>
      <w:r w:rsidRPr="00714812">
        <w:t>Acquisition Services Division</w:t>
      </w:r>
    </w:p>
    <w:p w14:paraId="2AB38ABF" w14:textId="77777777" w:rsidR="00F5358B" w:rsidRPr="00714812" w:rsidRDefault="00F5358B" w:rsidP="00F5358B">
      <w:pPr>
        <w:ind w:firstLine="720"/>
        <w:rPr>
          <w:b w:val="0"/>
        </w:rPr>
      </w:pPr>
      <w:r w:rsidRPr="00714812">
        <w:t xml:space="preserve">131 M ST., N.E., </w:t>
      </w:r>
      <w:r>
        <w:t>4th Floor, OCFO/ASD</w:t>
      </w:r>
    </w:p>
    <w:p w14:paraId="44DE87AB" w14:textId="77777777" w:rsidR="00F5358B" w:rsidRPr="00714812" w:rsidRDefault="00F5358B" w:rsidP="00F5358B">
      <w:pPr>
        <w:ind w:firstLine="720"/>
        <w:rPr>
          <w:b w:val="0"/>
        </w:rPr>
      </w:pPr>
      <w:r w:rsidRPr="00714812">
        <w:t>Washington, DC 20507</w:t>
      </w:r>
    </w:p>
    <w:p w14:paraId="2807937F" w14:textId="16C23326" w:rsidR="00F5358B" w:rsidRDefault="00345356" w:rsidP="00345356">
      <w:pPr>
        <w:numPr>
          <w:ilvl w:val="12"/>
          <w:numId w:val="0"/>
        </w:numPr>
        <w:ind w:firstLine="720"/>
        <w:jc w:val="both"/>
        <w:rPr>
          <w:b w:val="0"/>
          <w:bCs w:val="0"/>
        </w:rPr>
      </w:pPr>
      <w:r>
        <w:lastRenderedPageBreak/>
        <w:t>Tia Haslett</w:t>
      </w:r>
      <w:r w:rsidR="00F5358B">
        <w:t xml:space="preserve">, Supervisory </w:t>
      </w:r>
      <w:r w:rsidR="00F5358B" w:rsidRPr="00E64473">
        <w:t>Contracting Officer</w:t>
      </w:r>
    </w:p>
    <w:p w14:paraId="45B249F3" w14:textId="587E9ED4" w:rsidR="00F5358B" w:rsidRDefault="00F5358B" w:rsidP="00F5358B">
      <w:pPr>
        <w:numPr>
          <w:ilvl w:val="12"/>
          <w:numId w:val="0"/>
        </w:numPr>
        <w:ind w:firstLine="720"/>
        <w:jc w:val="both"/>
        <w:rPr>
          <w:b w:val="0"/>
          <w:bCs w:val="0"/>
        </w:rPr>
      </w:pPr>
      <w:r>
        <w:t>Fax No.: (202) 663-4</w:t>
      </w:r>
      <w:r w:rsidR="00345356">
        <w:t>247</w:t>
      </w:r>
    </w:p>
    <w:p w14:paraId="63CBCECF" w14:textId="77777777" w:rsidR="00F5358B" w:rsidRDefault="00F5358B" w:rsidP="00F5358B">
      <w:pPr>
        <w:numPr>
          <w:ilvl w:val="12"/>
          <w:numId w:val="0"/>
        </w:numPr>
        <w:jc w:val="both"/>
        <w:rPr>
          <w:b w:val="0"/>
          <w:bCs w:val="0"/>
        </w:rPr>
      </w:pPr>
    </w:p>
    <w:p w14:paraId="1CC9CBBE" w14:textId="77777777" w:rsidR="00F5358B" w:rsidRDefault="00F5358B" w:rsidP="00F5358B">
      <w:pPr>
        <w:pStyle w:val="Level1"/>
        <w:numPr>
          <w:ilvl w:val="0"/>
          <w:numId w:val="5"/>
        </w:numPr>
        <w:tabs>
          <w:tab w:val="left" w:pos="720"/>
        </w:tabs>
        <w:ind w:hanging="720"/>
        <w:jc w:val="both"/>
        <w:rPr>
          <w:b w:val="0"/>
          <w:bCs w:val="0"/>
          <w:u w:val="single"/>
        </w:rPr>
      </w:pPr>
      <w:r>
        <w:rPr>
          <w:u w:val="single"/>
        </w:rPr>
        <w:t>INSPECTION AND ACCEPTANCE</w:t>
      </w:r>
    </w:p>
    <w:p w14:paraId="049A0B1F" w14:textId="77777777" w:rsidR="00F5358B" w:rsidRDefault="00F5358B" w:rsidP="00F5358B">
      <w:pPr>
        <w:numPr>
          <w:ilvl w:val="12"/>
          <w:numId w:val="0"/>
        </w:numPr>
        <w:jc w:val="both"/>
        <w:rPr>
          <w:b w:val="0"/>
          <w:bCs w:val="0"/>
          <w:u w:val="single"/>
        </w:rPr>
      </w:pPr>
    </w:p>
    <w:p w14:paraId="24A96899" w14:textId="77777777" w:rsidR="00F5358B" w:rsidRDefault="00F5358B" w:rsidP="00F5358B">
      <w:pPr>
        <w:numPr>
          <w:ilvl w:val="12"/>
          <w:numId w:val="0"/>
        </w:numPr>
        <w:jc w:val="both"/>
        <w:rPr>
          <w:b w:val="0"/>
          <w:bCs w:val="0"/>
        </w:rPr>
      </w:pPr>
      <w:r>
        <w:t>If this BPA is for supplies, EEOC reserves the right to reject or return unsatisfactory material within ten (10) calendar days after receipt at no cost to the Government.  If for services, the Government may, within the same period, reject unsatisfactory services and require correction at no cost to the Government.  The COR will be responsible for the inspection and acceptance rendered by the contractor under this BPA.</w:t>
      </w:r>
    </w:p>
    <w:p w14:paraId="121E823D" w14:textId="77777777" w:rsidR="00F5358B" w:rsidRDefault="00F5358B" w:rsidP="00F5358B">
      <w:pPr>
        <w:numPr>
          <w:ilvl w:val="12"/>
          <w:numId w:val="0"/>
        </w:numPr>
        <w:jc w:val="both"/>
        <w:rPr>
          <w:b w:val="0"/>
          <w:bCs w:val="0"/>
        </w:rPr>
      </w:pPr>
    </w:p>
    <w:p w14:paraId="37770AAB" w14:textId="77777777" w:rsidR="00F5358B" w:rsidRDefault="00F5358B" w:rsidP="00F5358B">
      <w:pPr>
        <w:numPr>
          <w:ilvl w:val="12"/>
          <w:numId w:val="0"/>
        </w:numPr>
        <w:jc w:val="both"/>
      </w:pPr>
    </w:p>
    <w:p w14:paraId="6CE117E9" w14:textId="77777777" w:rsidR="002C29B2" w:rsidRDefault="002C29B2"/>
    <w:sectPr w:rsidR="002C29B2" w:rsidSect="009E3F13">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3DDDC" w14:textId="77777777" w:rsidR="002F430C" w:rsidRDefault="002F430C">
      <w:r>
        <w:separator/>
      </w:r>
    </w:p>
  </w:endnote>
  <w:endnote w:type="continuationSeparator" w:id="0">
    <w:p w14:paraId="3EF4CD36" w14:textId="77777777" w:rsidR="002F430C" w:rsidRDefault="002F4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0658300"/>
      <w:docPartObj>
        <w:docPartGallery w:val="Page Numbers (Bottom of Page)"/>
        <w:docPartUnique/>
      </w:docPartObj>
    </w:sdtPr>
    <w:sdtEndPr>
      <w:rPr>
        <w:color w:val="0070C0"/>
      </w:rPr>
    </w:sdtEndPr>
    <w:sdtContent>
      <w:sdt>
        <w:sdtPr>
          <w:rPr>
            <w:color w:val="0070C0"/>
          </w:rPr>
          <w:id w:val="1634055360"/>
          <w:docPartObj>
            <w:docPartGallery w:val="Page Numbers (Top of Page)"/>
            <w:docPartUnique/>
          </w:docPartObj>
        </w:sdtPr>
        <w:sdtEndPr/>
        <w:sdtContent>
          <w:p w14:paraId="52D22DF9" w14:textId="77777777" w:rsidR="00BE2F4F" w:rsidRPr="00702E7F" w:rsidRDefault="00F5358B">
            <w:pPr>
              <w:pStyle w:val="Footer"/>
              <w:jc w:val="right"/>
              <w:rPr>
                <w:color w:val="0070C0"/>
              </w:rPr>
            </w:pPr>
            <w:r w:rsidRPr="00702E7F">
              <w:rPr>
                <w:color w:val="0070C0"/>
              </w:rPr>
              <w:t xml:space="preserve">Page </w:t>
            </w:r>
            <w:r w:rsidRPr="00702E7F">
              <w:rPr>
                <w:b w:val="0"/>
                <w:bCs w:val="0"/>
                <w:color w:val="0070C0"/>
              </w:rPr>
              <w:fldChar w:fldCharType="begin"/>
            </w:r>
            <w:r w:rsidRPr="00702E7F">
              <w:rPr>
                <w:color w:val="0070C0"/>
              </w:rPr>
              <w:instrText xml:space="preserve"> PAGE </w:instrText>
            </w:r>
            <w:r w:rsidRPr="00702E7F">
              <w:rPr>
                <w:b w:val="0"/>
                <w:bCs w:val="0"/>
                <w:color w:val="0070C0"/>
              </w:rPr>
              <w:fldChar w:fldCharType="separate"/>
            </w:r>
            <w:r w:rsidRPr="00702E7F">
              <w:rPr>
                <w:noProof/>
                <w:color w:val="0070C0"/>
              </w:rPr>
              <w:t>2</w:t>
            </w:r>
            <w:r w:rsidRPr="00702E7F">
              <w:rPr>
                <w:b w:val="0"/>
                <w:bCs w:val="0"/>
                <w:color w:val="0070C0"/>
              </w:rPr>
              <w:fldChar w:fldCharType="end"/>
            </w:r>
            <w:r w:rsidRPr="00702E7F">
              <w:rPr>
                <w:color w:val="0070C0"/>
              </w:rPr>
              <w:t xml:space="preserve"> of </w:t>
            </w:r>
            <w:r w:rsidRPr="00702E7F">
              <w:rPr>
                <w:b w:val="0"/>
                <w:bCs w:val="0"/>
                <w:color w:val="0070C0"/>
              </w:rPr>
              <w:fldChar w:fldCharType="begin"/>
            </w:r>
            <w:r w:rsidRPr="00702E7F">
              <w:rPr>
                <w:color w:val="0070C0"/>
              </w:rPr>
              <w:instrText xml:space="preserve"> NUMPAGES  </w:instrText>
            </w:r>
            <w:r w:rsidRPr="00702E7F">
              <w:rPr>
                <w:b w:val="0"/>
                <w:bCs w:val="0"/>
                <w:color w:val="0070C0"/>
              </w:rPr>
              <w:fldChar w:fldCharType="separate"/>
            </w:r>
            <w:r w:rsidRPr="00702E7F">
              <w:rPr>
                <w:noProof/>
                <w:color w:val="0070C0"/>
              </w:rPr>
              <w:t>2</w:t>
            </w:r>
            <w:r w:rsidRPr="00702E7F">
              <w:rPr>
                <w:b w:val="0"/>
                <w:bCs w:val="0"/>
                <w:color w:val="0070C0"/>
              </w:rPr>
              <w:fldChar w:fldCharType="end"/>
            </w:r>
          </w:p>
        </w:sdtContent>
      </w:sdt>
    </w:sdtContent>
  </w:sdt>
  <w:p w14:paraId="643A8DC9" w14:textId="77777777" w:rsidR="00BE2F4F" w:rsidRDefault="002F43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70C0"/>
      </w:rPr>
      <w:id w:val="1803498934"/>
      <w:docPartObj>
        <w:docPartGallery w:val="Page Numbers (Bottom of Page)"/>
        <w:docPartUnique/>
      </w:docPartObj>
    </w:sdtPr>
    <w:sdtEndPr/>
    <w:sdtContent>
      <w:sdt>
        <w:sdtPr>
          <w:rPr>
            <w:color w:val="0070C0"/>
          </w:rPr>
          <w:id w:val="-1769616900"/>
          <w:docPartObj>
            <w:docPartGallery w:val="Page Numbers (Top of Page)"/>
            <w:docPartUnique/>
          </w:docPartObj>
        </w:sdtPr>
        <w:sdtEndPr/>
        <w:sdtContent>
          <w:p w14:paraId="4187E944" w14:textId="77777777" w:rsidR="00BE2F4F" w:rsidRPr="00702E7F" w:rsidRDefault="00F5358B">
            <w:pPr>
              <w:pStyle w:val="Footer"/>
              <w:jc w:val="right"/>
              <w:rPr>
                <w:color w:val="0070C0"/>
              </w:rPr>
            </w:pPr>
            <w:r w:rsidRPr="00702E7F">
              <w:rPr>
                <w:color w:val="0070C0"/>
              </w:rPr>
              <w:t xml:space="preserve">Page </w:t>
            </w:r>
            <w:r w:rsidRPr="00702E7F">
              <w:rPr>
                <w:b w:val="0"/>
                <w:bCs w:val="0"/>
                <w:color w:val="0070C0"/>
              </w:rPr>
              <w:fldChar w:fldCharType="begin"/>
            </w:r>
            <w:r w:rsidRPr="00702E7F">
              <w:rPr>
                <w:color w:val="0070C0"/>
              </w:rPr>
              <w:instrText xml:space="preserve"> PAGE </w:instrText>
            </w:r>
            <w:r w:rsidRPr="00702E7F">
              <w:rPr>
                <w:b w:val="0"/>
                <w:bCs w:val="0"/>
                <w:color w:val="0070C0"/>
              </w:rPr>
              <w:fldChar w:fldCharType="separate"/>
            </w:r>
            <w:r w:rsidRPr="00702E7F">
              <w:rPr>
                <w:noProof/>
                <w:color w:val="0070C0"/>
              </w:rPr>
              <w:t>2</w:t>
            </w:r>
            <w:r w:rsidRPr="00702E7F">
              <w:rPr>
                <w:b w:val="0"/>
                <w:bCs w:val="0"/>
                <w:color w:val="0070C0"/>
              </w:rPr>
              <w:fldChar w:fldCharType="end"/>
            </w:r>
            <w:r w:rsidRPr="00702E7F">
              <w:rPr>
                <w:color w:val="0070C0"/>
              </w:rPr>
              <w:t xml:space="preserve"> of </w:t>
            </w:r>
            <w:r w:rsidRPr="00702E7F">
              <w:rPr>
                <w:b w:val="0"/>
                <w:bCs w:val="0"/>
                <w:color w:val="0070C0"/>
              </w:rPr>
              <w:fldChar w:fldCharType="begin"/>
            </w:r>
            <w:r w:rsidRPr="00702E7F">
              <w:rPr>
                <w:color w:val="0070C0"/>
              </w:rPr>
              <w:instrText xml:space="preserve"> NUMPAGES  </w:instrText>
            </w:r>
            <w:r w:rsidRPr="00702E7F">
              <w:rPr>
                <w:b w:val="0"/>
                <w:bCs w:val="0"/>
                <w:color w:val="0070C0"/>
              </w:rPr>
              <w:fldChar w:fldCharType="separate"/>
            </w:r>
            <w:r w:rsidRPr="00702E7F">
              <w:rPr>
                <w:noProof/>
                <w:color w:val="0070C0"/>
              </w:rPr>
              <w:t>2</w:t>
            </w:r>
            <w:r w:rsidRPr="00702E7F">
              <w:rPr>
                <w:b w:val="0"/>
                <w:bCs w:val="0"/>
                <w:color w:val="0070C0"/>
              </w:rPr>
              <w:fldChar w:fldCharType="end"/>
            </w:r>
          </w:p>
        </w:sdtContent>
      </w:sdt>
    </w:sdtContent>
  </w:sdt>
  <w:p w14:paraId="160CB04B" w14:textId="77777777" w:rsidR="00BE2F4F" w:rsidRDefault="002F4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28612" w14:textId="77777777" w:rsidR="002F430C" w:rsidRDefault="002F430C">
      <w:r>
        <w:separator/>
      </w:r>
    </w:p>
  </w:footnote>
  <w:footnote w:type="continuationSeparator" w:id="0">
    <w:p w14:paraId="30C7E009" w14:textId="77777777" w:rsidR="002F430C" w:rsidRDefault="002F4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FF427" w14:textId="77777777" w:rsidR="00BE2F4F" w:rsidRDefault="00F5358B">
    <w:pPr>
      <w:pStyle w:val="Header"/>
    </w:pPr>
    <w:r>
      <w:rPr>
        <w:rFonts w:asciiTheme="majorHAnsi" w:eastAsiaTheme="majorEastAsia" w:hAnsiTheme="majorHAnsi" w:cstheme="majorBidi"/>
        <w:color w:val="4472C4" w:themeColor="accent1"/>
      </w:rPr>
      <w:t>Statement of Work</w:t>
    </w:r>
    <w:r>
      <w:rPr>
        <w:rFonts w:asciiTheme="majorHAnsi" w:eastAsiaTheme="majorEastAsia" w:hAnsiTheme="majorHAnsi" w:cstheme="majorBidi"/>
        <w:color w:val="4472C4" w:themeColor="accent1"/>
      </w:rPr>
      <w:ptab w:relativeTo="margin" w:alignment="right" w:leader="none"/>
    </w:r>
    <w:r>
      <w:rPr>
        <w:rFonts w:asciiTheme="majorHAnsi" w:eastAsiaTheme="majorEastAsia" w:hAnsiTheme="majorHAnsi" w:cstheme="majorBidi"/>
        <w:color w:val="4472C4" w:themeColor="accent1"/>
      </w:rPr>
      <w:t>Request for Quotation #45310020Q0057</w:t>
    </w:r>
  </w:p>
  <w:p w14:paraId="4AA63410" w14:textId="77777777" w:rsidR="0052103D" w:rsidRDefault="002F43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AA83C" w14:textId="77777777" w:rsidR="00BE2F4F" w:rsidRDefault="00F5358B">
    <w:pPr>
      <w:pStyle w:val="Header"/>
    </w:pPr>
    <w:r>
      <w:rPr>
        <w:rFonts w:asciiTheme="majorHAnsi" w:eastAsiaTheme="majorEastAsia" w:hAnsiTheme="majorHAnsi" w:cstheme="majorBidi"/>
        <w:color w:val="4472C4" w:themeColor="accent1"/>
      </w:rPr>
      <w:t xml:space="preserve">Statement of Work </w:t>
    </w:r>
    <w:r>
      <w:rPr>
        <w:rFonts w:asciiTheme="majorHAnsi" w:eastAsiaTheme="majorEastAsia" w:hAnsiTheme="majorHAnsi" w:cstheme="majorBidi"/>
        <w:color w:val="4472C4" w:themeColor="accent1"/>
      </w:rPr>
      <w:ptab w:relativeTo="margin" w:alignment="right" w:leader="none"/>
    </w:r>
    <w:r>
      <w:rPr>
        <w:rFonts w:asciiTheme="majorHAnsi" w:eastAsiaTheme="majorEastAsia" w:hAnsiTheme="majorHAnsi" w:cstheme="majorBidi"/>
        <w:color w:val="4472C4" w:themeColor="accent1"/>
      </w:rPr>
      <w:t>Request for Quotation #45310020Q0057</w:t>
    </w:r>
  </w:p>
  <w:p w14:paraId="1745087A" w14:textId="77777777" w:rsidR="00BE2F4F" w:rsidRDefault="002F43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A6027"/>
    <w:multiLevelType w:val="singleLevel"/>
    <w:tmpl w:val="F2181B72"/>
    <w:lvl w:ilvl="0">
      <w:start w:val="3"/>
      <w:numFmt w:val="upperRoman"/>
      <w:lvlText w:val="%1."/>
      <w:legacy w:legacy="1" w:legacySpace="0" w:legacyIndent="1"/>
      <w:lvlJc w:val="left"/>
      <w:pPr>
        <w:ind w:left="1" w:hanging="1"/>
      </w:pPr>
      <w:rPr>
        <w:rFonts w:ascii="Times New Roman" w:hAnsi="Times New Roman" w:cs="Times New Roman" w:hint="default"/>
      </w:rPr>
    </w:lvl>
  </w:abstractNum>
  <w:abstractNum w:abstractNumId="1" w15:restartNumberingAfterBreak="0">
    <w:nsid w:val="0EB6003A"/>
    <w:multiLevelType w:val="singleLevel"/>
    <w:tmpl w:val="D29657F8"/>
    <w:lvl w:ilvl="0">
      <w:start w:val="1"/>
      <w:numFmt w:val="upperRoman"/>
      <w:lvlText w:val="%1."/>
      <w:legacy w:legacy="1" w:legacySpace="0" w:legacyIndent="1"/>
      <w:lvlJc w:val="left"/>
      <w:pPr>
        <w:ind w:left="1" w:hanging="1"/>
      </w:pPr>
      <w:rPr>
        <w:rFonts w:ascii="Times New Roman" w:hAnsi="Times New Roman" w:cs="Times New Roman" w:hint="default"/>
      </w:rPr>
    </w:lvl>
  </w:abstractNum>
  <w:abstractNum w:abstractNumId="2" w15:restartNumberingAfterBreak="0">
    <w:nsid w:val="1CE12987"/>
    <w:multiLevelType w:val="singleLevel"/>
    <w:tmpl w:val="AAC82F46"/>
    <w:lvl w:ilvl="0">
      <w:start w:val="8"/>
      <w:numFmt w:val="decimal"/>
      <w:lvlText w:val="%1."/>
      <w:legacy w:legacy="1" w:legacySpace="0" w:legacyIndent="1"/>
      <w:lvlJc w:val="left"/>
      <w:pPr>
        <w:ind w:left="1" w:hanging="1"/>
      </w:pPr>
      <w:rPr>
        <w:rFonts w:ascii="Times New Roman" w:hAnsi="Times New Roman" w:cs="Times New Roman" w:hint="default"/>
      </w:rPr>
    </w:lvl>
  </w:abstractNum>
  <w:abstractNum w:abstractNumId="3" w15:restartNumberingAfterBreak="0">
    <w:nsid w:val="1FB17A2B"/>
    <w:multiLevelType w:val="multilevel"/>
    <w:tmpl w:val="E3CCAF12"/>
    <w:lvl w:ilvl="0">
      <w:start w:val="4"/>
      <w:numFmt w:val="upperRoman"/>
      <w:lvlText w:val="%1."/>
      <w:legacy w:legacy="1" w:legacySpace="0" w:legacyIndent="0"/>
      <w:lvlJc w:val="left"/>
      <w:rPr>
        <w:rFonts w:cs="Times New Roman"/>
      </w:rPr>
    </w:lvl>
    <w:lvl w:ilvl="1">
      <w:start w:val="3"/>
      <w:numFmt w:val="upperLetter"/>
      <w:lvlText w:val="%2."/>
      <w:legacy w:legacy="1" w:legacySpace="0" w:legacyIndent="0"/>
      <w:lvlJc w:val="left"/>
      <w:rPr>
        <w:rFonts w:ascii="Times New Roman" w:eastAsia="Times New Roman" w:hAnsi="Times New Roman" w:cs="Times New Roman"/>
      </w:rPr>
    </w:lvl>
    <w:lvl w:ilvl="2">
      <w:start w:val="3"/>
      <w:numFmt w:val="upperRoman"/>
      <w:lvlText w:val="%3."/>
      <w:legacy w:legacy="1" w:legacySpace="0" w:legacyIndent="0"/>
      <w:lvlJc w:val="left"/>
      <w:rPr>
        <w:rFonts w:cs="Times New Roman"/>
      </w:rPr>
    </w:lvl>
    <w:lvl w:ilvl="3">
      <w:start w:val="3"/>
      <w:numFmt w:val="upperRoman"/>
      <w:lvlText w:val="%4."/>
      <w:legacy w:legacy="1" w:legacySpace="0" w:legacyIndent="0"/>
      <w:lvlJc w:val="left"/>
      <w:rPr>
        <w:rFonts w:cs="Times New Roman"/>
      </w:rPr>
    </w:lvl>
    <w:lvl w:ilvl="4">
      <w:start w:val="3"/>
      <w:numFmt w:val="upperRoman"/>
      <w:lvlText w:val="%5."/>
      <w:legacy w:legacy="1" w:legacySpace="0" w:legacyIndent="0"/>
      <w:lvlJc w:val="left"/>
      <w:rPr>
        <w:rFonts w:cs="Times New Roman"/>
      </w:rPr>
    </w:lvl>
    <w:lvl w:ilvl="5">
      <w:start w:val="3"/>
      <w:numFmt w:val="upperRoman"/>
      <w:lvlText w:val="%6."/>
      <w:legacy w:legacy="1" w:legacySpace="0" w:legacyIndent="0"/>
      <w:lvlJc w:val="left"/>
      <w:rPr>
        <w:rFonts w:cs="Times New Roman"/>
      </w:rPr>
    </w:lvl>
    <w:lvl w:ilvl="6">
      <w:start w:val="3"/>
      <w:numFmt w:val="upperRoman"/>
      <w:lvlText w:val="%7."/>
      <w:legacy w:legacy="1" w:legacySpace="0" w:legacyIndent="0"/>
      <w:lvlJc w:val="left"/>
      <w:rPr>
        <w:rFonts w:cs="Times New Roman"/>
      </w:rPr>
    </w:lvl>
    <w:lvl w:ilvl="7">
      <w:start w:val="3"/>
      <w:numFmt w:val="upperRoman"/>
      <w:lvlText w:val="%8."/>
      <w:legacy w:legacy="1" w:legacySpace="0" w:legacyIndent="0"/>
      <w:lvlJc w:val="left"/>
      <w:rPr>
        <w:rFonts w:cs="Times New Roman"/>
      </w:rPr>
    </w:lvl>
    <w:lvl w:ilvl="8">
      <w:start w:val="3"/>
      <w:numFmt w:val="lowerRoman"/>
      <w:lvlText w:val="%9)"/>
      <w:legacy w:legacy="1" w:legacySpace="0" w:legacyIndent="0"/>
      <w:lvlJc w:val="left"/>
      <w:rPr>
        <w:rFonts w:cs="Times New Roman"/>
      </w:rPr>
    </w:lvl>
  </w:abstractNum>
  <w:abstractNum w:abstractNumId="4" w15:restartNumberingAfterBreak="0">
    <w:nsid w:val="204935A2"/>
    <w:multiLevelType w:val="multilevel"/>
    <w:tmpl w:val="56264A30"/>
    <w:lvl w:ilvl="0">
      <w:start w:val="1"/>
      <w:numFmt w:val="decimal"/>
      <w:lvlText w:val="%1."/>
      <w:legacy w:legacy="1" w:legacySpace="0" w:legacyIndent="1"/>
      <w:lvlJc w:val="left"/>
      <w:pPr>
        <w:ind w:left="1" w:hanging="1"/>
      </w:pPr>
      <w:rPr>
        <w:rFonts w:ascii="Times New Roman" w:hAnsi="Times New Roman" w:cs="Times New Roman"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48CD2800"/>
    <w:multiLevelType w:val="hybridMultilevel"/>
    <w:tmpl w:val="B8AADD18"/>
    <w:lvl w:ilvl="0" w:tplc="2466D840">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092D98"/>
    <w:multiLevelType w:val="hybridMultilevel"/>
    <w:tmpl w:val="6A3AA118"/>
    <w:lvl w:ilvl="0" w:tplc="D3E47260">
      <w:start w:val="1"/>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4"/>
  </w:num>
  <w:num w:numId="3">
    <w:abstractNumId w:val="2"/>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58B"/>
    <w:rsid w:val="000A57ED"/>
    <w:rsid w:val="000D71B8"/>
    <w:rsid w:val="00174C14"/>
    <w:rsid w:val="002C29B2"/>
    <w:rsid w:val="002F430C"/>
    <w:rsid w:val="00345356"/>
    <w:rsid w:val="004B5CA8"/>
    <w:rsid w:val="004D44AD"/>
    <w:rsid w:val="00787A27"/>
    <w:rsid w:val="00885563"/>
    <w:rsid w:val="00B447D9"/>
    <w:rsid w:val="00C520F3"/>
    <w:rsid w:val="00DA7542"/>
    <w:rsid w:val="00F5358B"/>
    <w:rsid w:val="00FB3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70929"/>
  <w15:chartTrackingRefBased/>
  <w15:docId w15:val="{90F89A17-6D52-40A2-B1B6-8D4E05BC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358B"/>
    <w:pPr>
      <w:autoSpaceDE w:val="0"/>
      <w:autoSpaceDN w:val="0"/>
      <w:adjustRightInd w:val="0"/>
      <w:spacing w:after="0" w:line="240" w:lineRule="auto"/>
    </w:pPr>
    <w:rPr>
      <w:rFonts w:ascii="Times New Roman" w:eastAsia="Times New Roman" w:hAnsi="Times New Roman" w:cs="Times New Roman"/>
      <w:b/>
      <w:b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F5358B"/>
    <w:pPr>
      <w:autoSpaceDE w:val="0"/>
      <w:autoSpaceDN w:val="0"/>
      <w:adjustRightInd w:val="0"/>
      <w:spacing w:after="0" w:line="240" w:lineRule="auto"/>
      <w:ind w:left="720"/>
    </w:pPr>
    <w:rPr>
      <w:rFonts w:ascii="Times New Roman" w:eastAsia="Times New Roman" w:hAnsi="Times New Roman" w:cs="Times New Roman"/>
      <w:b/>
      <w:bCs/>
      <w:color w:val="000000" w:themeColor="text1"/>
      <w:sz w:val="24"/>
      <w:szCs w:val="24"/>
    </w:rPr>
  </w:style>
  <w:style w:type="paragraph" w:customStyle="1" w:styleId="Level2">
    <w:name w:val="Level 2"/>
    <w:uiPriority w:val="99"/>
    <w:rsid w:val="00F5358B"/>
    <w:pPr>
      <w:autoSpaceDE w:val="0"/>
      <w:autoSpaceDN w:val="0"/>
      <w:adjustRightInd w:val="0"/>
      <w:spacing w:after="0" w:line="240" w:lineRule="auto"/>
      <w:ind w:left="1440"/>
    </w:pPr>
    <w:rPr>
      <w:rFonts w:ascii="Times New Roman" w:eastAsia="Times New Roman" w:hAnsi="Times New Roman" w:cs="Times New Roman"/>
      <w:b/>
      <w:bCs/>
      <w:color w:val="000000" w:themeColor="text1"/>
      <w:sz w:val="24"/>
      <w:szCs w:val="24"/>
    </w:rPr>
  </w:style>
  <w:style w:type="paragraph" w:styleId="ListParagraph">
    <w:name w:val="List Paragraph"/>
    <w:basedOn w:val="Normal"/>
    <w:uiPriority w:val="34"/>
    <w:qFormat/>
    <w:rsid w:val="00F5358B"/>
    <w:pPr>
      <w:ind w:left="720"/>
    </w:pPr>
  </w:style>
  <w:style w:type="paragraph" w:styleId="Header">
    <w:name w:val="header"/>
    <w:basedOn w:val="Normal"/>
    <w:link w:val="HeaderChar"/>
    <w:uiPriority w:val="99"/>
    <w:unhideWhenUsed/>
    <w:rsid w:val="00F5358B"/>
    <w:pPr>
      <w:tabs>
        <w:tab w:val="center" w:pos="4680"/>
        <w:tab w:val="right" w:pos="9360"/>
      </w:tabs>
    </w:pPr>
  </w:style>
  <w:style w:type="character" w:customStyle="1" w:styleId="HeaderChar">
    <w:name w:val="Header Char"/>
    <w:basedOn w:val="DefaultParagraphFont"/>
    <w:link w:val="Header"/>
    <w:uiPriority w:val="99"/>
    <w:rsid w:val="00F5358B"/>
    <w:rPr>
      <w:rFonts w:ascii="Times New Roman" w:eastAsia="Times New Roman" w:hAnsi="Times New Roman" w:cs="Times New Roman"/>
      <w:b/>
      <w:bCs/>
      <w:color w:val="000000" w:themeColor="text1"/>
      <w:sz w:val="24"/>
      <w:szCs w:val="24"/>
    </w:rPr>
  </w:style>
  <w:style w:type="paragraph" w:styleId="Footer">
    <w:name w:val="footer"/>
    <w:basedOn w:val="Normal"/>
    <w:link w:val="FooterChar"/>
    <w:uiPriority w:val="99"/>
    <w:unhideWhenUsed/>
    <w:rsid w:val="00F5358B"/>
    <w:pPr>
      <w:tabs>
        <w:tab w:val="center" w:pos="4680"/>
        <w:tab w:val="right" w:pos="9360"/>
      </w:tabs>
    </w:pPr>
  </w:style>
  <w:style w:type="character" w:customStyle="1" w:styleId="FooterChar">
    <w:name w:val="Footer Char"/>
    <w:basedOn w:val="DefaultParagraphFont"/>
    <w:link w:val="Footer"/>
    <w:uiPriority w:val="99"/>
    <w:rsid w:val="00F5358B"/>
    <w:rPr>
      <w:rFonts w:ascii="Times New Roman" w:eastAsia="Times New Roman" w:hAnsi="Times New Roman" w:cs="Times New Roman"/>
      <w:b/>
      <w:bCs/>
      <w:color w:val="000000" w:themeColor="text1"/>
      <w:sz w:val="24"/>
      <w:szCs w:val="24"/>
    </w:rPr>
  </w:style>
  <w:style w:type="table" w:styleId="TableGrid">
    <w:name w:val="Table Grid"/>
    <w:basedOn w:val="TableNormal"/>
    <w:rsid w:val="00F5358B"/>
    <w:pPr>
      <w:spacing w:after="0" w:line="240" w:lineRule="auto"/>
    </w:pPr>
    <w:rPr>
      <w:rFonts w:ascii="Times New Roman" w:eastAsia="Times New Roman" w:hAnsi="Times New Roman" w:cs="Times New Roman"/>
      <w:b/>
      <w:bCs/>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35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pp.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78D37E54936D489415E77A24DAB783" ma:contentTypeVersion="11" ma:contentTypeDescription="Create a new document." ma:contentTypeScope="" ma:versionID="5b5f33c54c6b09b8653cda28f98940a1">
  <xsd:schema xmlns:xsd="http://www.w3.org/2001/XMLSchema" xmlns:xs="http://www.w3.org/2001/XMLSchema" xmlns:p="http://schemas.microsoft.com/office/2006/metadata/properties" xmlns:ns3="5cd47074-8846-49ad-a8d6-c1fcf3412839" xmlns:ns4="e671ba31-2db1-483f-a2db-3ce5a04aed25" targetNamespace="http://schemas.microsoft.com/office/2006/metadata/properties" ma:root="true" ma:fieldsID="7056dbad6665e2a26c62edc2b2b74686" ns3:_="" ns4:_="">
    <xsd:import namespace="5cd47074-8846-49ad-a8d6-c1fcf3412839"/>
    <xsd:import namespace="e671ba31-2db1-483f-a2db-3ce5a04aed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47074-8846-49ad-a8d6-c1fcf3412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71ba31-2db1-483f-a2db-3ce5a04aed2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A127CB-E842-4675-8CA1-A8D13EBDF8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3AF227-6E9A-4876-A274-78A117711966}">
  <ds:schemaRefs>
    <ds:schemaRef ds:uri="http://schemas.microsoft.com/sharepoint/v3/contenttype/forms"/>
  </ds:schemaRefs>
</ds:datastoreItem>
</file>

<file path=customXml/itemProps3.xml><?xml version="1.0" encoding="utf-8"?>
<ds:datastoreItem xmlns:ds="http://schemas.openxmlformats.org/officeDocument/2006/customXml" ds:itemID="{F8E7B13A-6B76-40F6-AD40-7B69122DF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d47074-8846-49ad-a8d6-c1fcf3412839"/>
    <ds:schemaRef ds:uri="e671ba31-2db1-483f-a2db-3ce5a04ae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2784</Words>
  <Characters>15872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Statement of Work</vt:lpstr>
    </vt:vector>
  </TitlesOfParts>
  <Company/>
  <LinksUpToDate>false</LinksUpToDate>
  <CharactersWithSpaces>18619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Work</dc:title>
  <dc:subject/>
  <dc:creator>GRETA PEARSON</dc:creator>
  <cp:keywords/>
  <dc:description/>
  <cp:lastModifiedBy>FREDERICK ROYER</cp:lastModifiedBy>
  <cp:revision>3</cp:revision>
  <dcterms:created xsi:type="dcterms:W3CDTF">2020-08-11T11:59:00Z</dcterms:created>
  <dcterms:modified xsi:type="dcterms:W3CDTF">2020-08-11T12:03:00Z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0x0101001178D37E54936D489415E77A24DAB783</vt:lpwstr>
  </property>
</Properties>
</file>